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jc w:val="left"/>
        <w:rPr>
          <w:rFonts w:ascii="黑体" w:hAnsi="黑体" w:eastAsia="黑体" w:cs="黑体"/>
          <w:color w:val="000000"/>
          <w:spacing w:val="8"/>
          <w:kern w:val="0"/>
          <w:sz w:val="32"/>
          <w:szCs w:val="32"/>
          <w:shd w:val="clear" w:color="auto" w:fill="FFFFFF"/>
        </w:rPr>
      </w:pPr>
      <w:r>
        <w:rPr>
          <w:rFonts w:hint="eastAsia" w:ascii="黑体" w:hAnsi="黑体" w:eastAsia="黑体" w:cs="黑体"/>
          <w:color w:val="000000"/>
          <w:spacing w:val="8"/>
          <w:kern w:val="0"/>
          <w:sz w:val="32"/>
          <w:szCs w:val="32"/>
          <w:shd w:val="clear" w:color="auto" w:fill="FFFFFF"/>
        </w:rPr>
        <w:t>附件5</w:t>
      </w:r>
    </w:p>
    <w:p>
      <w:pPr>
        <w:widowControl/>
        <w:shd w:val="clear" w:color="auto" w:fill="FFFFFF"/>
        <w:spacing w:line="560" w:lineRule="exact"/>
        <w:jc w:val="center"/>
        <w:rPr>
          <w:rFonts w:ascii="方正小标宋简体" w:hAnsi="Microsoft YaHei UI" w:eastAsia="方正小标宋简体" w:cs="Microsoft YaHei UI"/>
          <w:color w:val="333333"/>
          <w:spacing w:val="8"/>
          <w:kern w:val="0"/>
          <w:sz w:val="44"/>
          <w:szCs w:val="44"/>
        </w:rPr>
      </w:pPr>
      <w:r>
        <w:rPr>
          <w:rFonts w:hint="eastAsia" w:ascii="方正小标宋简体" w:hAnsi="宋体" w:eastAsia="方正小标宋简体" w:cs="黑体"/>
          <w:color w:val="000000"/>
          <w:spacing w:val="8"/>
          <w:kern w:val="0"/>
          <w:sz w:val="44"/>
          <w:szCs w:val="44"/>
          <w:shd w:val="clear" w:color="auto" w:fill="FFFFFF"/>
          <w:lang w:eastAsia="zh-CN"/>
        </w:rPr>
        <w:t>第</w:t>
      </w:r>
      <w:r>
        <w:rPr>
          <w:rFonts w:hint="eastAsia" w:ascii="方正小标宋简体" w:hAnsi="宋体" w:eastAsia="方正小标宋简体" w:cs="黑体"/>
          <w:color w:val="000000"/>
          <w:spacing w:val="8"/>
          <w:kern w:val="0"/>
          <w:sz w:val="44"/>
          <w:szCs w:val="44"/>
          <w:shd w:val="clear" w:color="auto" w:fill="FFFFFF"/>
          <w:lang w:val="en-US" w:eastAsia="zh-CN"/>
        </w:rPr>
        <w:t>五</w:t>
      </w:r>
      <w:r>
        <w:rPr>
          <w:rFonts w:hint="eastAsia" w:ascii="方正小标宋简体" w:hAnsi="宋体" w:eastAsia="方正小标宋简体" w:cs="黑体"/>
          <w:color w:val="000000"/>
          <w:spacing w:val="8"/>
          <w:kern w:val="0"/>
          <w:sz w:val="44"/>
          <w:szCs w:val="44"/>
          <w:shd w:val="clear" w:color="auto" w:fill="FFFFFF"/>
          <w:lang w:eastAsia="zh-CN"/>
        </w:rPr>
        <w:t>届</w:t>
      </w:r>
      <w:r>
        <w:rPr>
          <w:rFonts w:hint="eastAsia" w:ascii="方正小标宋简体" w:hAnsi="宋体" w:eastAsia="方正小标宋简体" w:cs="黑体"/>
          <w:color w:val="000000"/>
          <w:spacing w:val="8"/>
          <w:kern w:val="0"/>
          <w:sz w:val="44"/>
          <w:szCs w:val="44"/>
          <w:shd w:val="clear" w:color="auto" w:fill="FFFFFF"/>
        </w:rPr>
        <w:t>海南省南海文艺奖音乐类评选细则</w:t>
      </w:r>
    </w:p>
    <w:p>
      <w:pPr>
        <w:widowControl/>
        <w:shd w:val="clear" w:color="auto" w:fill="FFFFFF"/>
        <w:spacing w:line="560" w:lineRule="exact"/>
        <w:jc w:val="center"/>
        <w:rPr>
          <w:rFonts w:ascii="方正小标宋简体" w:hAnsi="Microsoft YaHei UI" w:eastAsia="方正小标宋简体" w:cs="Microsoft YaHei UI"/>
          <w:color w:val="333333"/>
          <w:spacing w:val="8"/>
          <w:kern w:val="0"/>
          <w:sz w:val="44"/>
          <w:szCs w:val="44"/>
        </w:rPr>
      </w:pPr>
    </w:p>
    <w:p>
      <w:pPr>
        <w:widowControl/>
        <w:spacing w:line="44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根据《海南省南海文艺奖评奖章程》规定，按照《第</w:t>
      </w:r>
      <w:r>
        <w:rPr>
          <w:rFonts w:hint="eastAsia" w:ascii="仿宋" w:hAnsi="仿宋" w:eastAsia="仿宋" w:cs="仿宋"/>
          <w:color w:val="000000"/>
          <w:kern w:val="0"/>
          <w:sz w:val="32"/>
          <w:szCs w:val="32"/>
          <w:lang w:val="en-US" w:eastAsia="zh-CN"/>
        </w:rPr>
        <w:t>五</w:t>
      </w:r>
      <w:r>
        <w:rPr>
          <w:rFonts w:hint="eastAsia" w:ascii="仿宋" w:hAnsi="仿宋" w:eastAsia="仿宋" w:cs="仿宋"/>
          <w:color w:val="000000"/>
          <w:kern w:val="0"/>
          <w:sz w:val="32"/>
          <w:szCs w:val="32"/>
        </w:rPr>
        <w:t>届海南省南海文艺奖评奖实施方案》的要求，制定本细则。</w:t>
      </w:r>
    </w:p>
    <w:p>
      <w:pPr>
        <w:widowControl/>
        <w:numPr>
          <w:ilvl w:val="0"/>
          <w:numId w:val="1"/>
        </w:numPr>
        <w:spacing w:line="440" w:lineRule="exact"/>
        <w:ind w:firstLine="643" w:firstLineChars="200"/>
        <w:rPr>
          <w:rFonts w:ascii="黑体" w:hAnsi="黑体" w:eastAsia="黑体" w:cs="宋体"/>
          <w:b/>
          <w:color w:val="000000"/>
          <w:kern w:val="0"/>
          <w:sz w:val="32"/>
          <w:szCs w:val="32"/>
        </w:rPr>
      </w:pPr>
      <w:r>
        <w:rPr>
          <w:rFonts w:hint="eastAsia" w:ascii="黑体" w:hAnsi="黑体" w:eastAsia="黑体" w:cs="宋体"/>
          <w:b/>
          <w:color w:val="000000"/>
          <w:kern w:val="0"/>
          <w:sz w:val="32"/>
          <w:szCs w:val="32"/>
        </w:rPr>
        <w:t>评选对象与范围</w:t>
      </w:r>
    </w:p>
    <w:p>
      <w:pPr>
        <w:widowControl/>
        <w:spacing w:line="44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（一）海南省南海文艺奖是全省文艺界综合性常设专业大奖，分设作品奖和终身成就奖。</w:t>
      </w:r>
    </w:p>
    <w:p>
      <w:pPr>
        <w:widowControl/>
        <w:spacing w:line="44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（二）本届音乐类设作品奖</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包括：</w:t>
      </w:r>
    </w:p>
    <w:p>
      <w:pPr>
        <w:widowControl/>
        <w:spacing w:line="44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1.声乐作品（独唱、重唱、合唱等），</w:t>
      </w:r>
    </w:p>
    <w:p>
      <w:pPr>
        <w:widowControl/>
        <w:spacing w:line="44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2.器乐作品（管弦乐、室内乐及器乐独奏作品等）。</w:t>
      </w:r>
    </w:p>
    <w:p>
      <w:pPr>
        <w:widowControl/>
        <w:spacing w:line="440" w:lineRule="exact"/>
        <w:ind w:firstLine="640" w:firstLineChars="200"/>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（三）凡在20</w:t>
      </w:r>
      <w:r>
        <w:rPr>
          <w:rFonts w:hint="eastAsia" w:ascii="仿宋" w:hAnsi="仿宋" w:eastAsia="仿宋" w:cs="仿宋"/>
          <w:color w:val="000000"/>
          <w:kern w:val="0"/>
          <w:sz w:val="32"/>
          <w:szCs w:val="32"/>
          <w:shd w:val="clear" w:color="auto" w:fill="FFFFFF"/>
          <w:lang w:val="en-US" w:eastAsia="zh-CN"/>
        </w:rPr>
        <w:t>21</w:t>
      </w:r>
      <w:r>
        <w:rPr>
          <w:rFonts w:hint="eastAsia" w:ascii="仿宋" w:hAnsi="仿宋" w:eastAsia="仿宋" w:cs="仿宋"/>
          <w:color w:val="000000"/>
          <w:kern w:val="0"/>
          <w:sz w:val="32"/>
          <w:szCs w:val="32"/>
          <w:shd w:val="clear" w:color="auto" w:fill="FFFFFF"/>
        </w:rPr>
        <w:t>年1月1日至202</w:t>
      </w:r>
      <w:r>
        <w:rPr>
          <w:rFonts w:hint="eastAsia" w:ascii="仿宋" w:hAnsi="仿宋" w:eastAsia="仿宋" w:cs="仿宋"/>
          <w:color w:val="000000"/>
          <w:kern w:val="0"/>
          <w:sz w:val="32"/>
          <w:szCs w:val="32"/>
          <w:shd w:val="clear" w:color="auto" w:fill="FFFFFF"/>
          <w:lang w:val="en-US" w:eastAsia="zh-CN"/>
        </w:rPr>
        <w:t>2</w:t>
      </w:r>
      <w:r>
        <w:rPr>
          <w:rFonts w:hint="eastAsia" w:ascii="仿宋" w:hAnsi="仿宋" w:eastAsia="仿宋" w:cs="仿宋"/>
          <w:color w:val="000000"/>
          <w:kern w:val="0"/>
          <w:sz w:val="32"/>
          <w:szCs w:val="32"/>
          <w:shd w:val="clear" w:color="auto" w:fill="FFFFFF"/>
        </w:rPr>
        <w:t>年12月31日期间创作的海南题材的音乐作品均可申报参选,作者(个体或集体)不受户籍</w:t>
      </w:r>
      <w:r>
        <w:rPr>
          <w:rFonts w:hint="eastAsia" w:ascii="仿宋" w:hAnsi="仿宋" w:eastAsia="仿宋" w:cs="仿宋"/>
          <w:color w:val="000000"/>
          <w:kern w:val="0"/>
          <w:sz w:val="32"/>
          <w:szCs w:val="32"/>
          <w:shd w:val="clear" w:color="auto" w:fill="FFFFFF"/>
          <w:lang w:eastAsia="zh-CN"/>
        </w:rPr>
        <w:t>、</w:t>
      </w:r>
      <w:r>
        <w:rPr>
          <w:rFonts w:hint="eastAsia" w:ascii="仿宋" w:hAnsi="仿宋" w:eastAsia="仿宋" w:cs="仿宋"/>
          <w:color w:val="000000"/>
          <w:kern w:val="0"/>
          <w:sz w:val="32"/>
          <w:szCs w:val="32"/>
          <w:shd w:val="clear" w:color="auto" w:fill="FFFFFF"/>
        </w:rPr>
        <w:t>地域</w:t>
      </w:r>
      <w:r>
        <w:rPr>
          <w:rFonts w:hint="eastAsia" w:ascii="仿宋" w:hAnsi="仿宋" w:eastAsia="仿宋" w:cs="仿宋"/>
          <w:color w:val="000000"/>
          <w:kern w:val="0"/>
          <w:sz w:val="32"/>
          <w:szCs w:val="32"/>
          <w:shd w:val="clear" w:color="auto" w:fill="FFFFFF"/>
          <w:lang w:eastAsia="zh-CN"/>
        </w:rPr>
        <w:t>、</w:t>
      </w:r>
      <w:r>
        <w:rPr>
          <w:rFonts w:hint="eastAsia" w:ascii="仿宋" w:hAnsi="仿宋" w:eastAsia="仿宋" w:cs="仿宋"/>
          <w:color w:val="000000"/>
          <w:kern w:val="0"/>
          <w:sz w:val="32"/>
          <w:szCs w:val="32"/>
          <w:shd w:val="clear" w:color="auto" w:fill="FFFFFF"/>
        </w:rPr>
        <w:t>国籍限制。申报作品时限以作品首次演出、发表或评选时间为准。</w:t>
      </w:r>
    </w:p>
    <w:p>
      <w:pPr>
        <w:widowControl/>
        <w:spacing w:line="44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 xml:space="preserve">（四）推荐音乐艺术终身成就奖的候选人建议人选1名。        </w:t>
      </w:r>
    </w:p>
    <w:p>
      <w:pPr>
        <w:widowControl/>
        <w:spacing w:line="440" w:lineRule="exact"/>
        <w:ind w:firstLine="643" w:firstLineChars="200"/>
        <w:rPr>
          <w:rFonts w:ascii="黑体" w:hAnsi="黑体" w:eastAsia="黑体" w:cs="宋体"/>
          <w:b/>
          <w:color w:val="000000"/>
          <w:kern w:val="0"/>
          <w:sz w:val="32"/>
          <w:szCs w:val="32"/>
        </w:rPr>
      </w:pPr>
      <w:r>
        <w:rPr>
          <w:rFonts w:hint="eastAsia" w:ascii="黑体" w:hAnsi="黑体" w:eastAsia="黑体" w:cs="宋体"/>
          <w:b/>
          <w:color w:val="000000"/>
          <w:kern w:val="0"/>
          <w:sz w:val="32"/>
          <w:szCs w:val="32"/>
        </w:rPr>
        <w:t>二、申报条件与标准</w:t>
      </w:r>
    </w:p>
    <w:p>
      <w:pPr>
        <w:widowControl/>
        <w:spacing w:line="440" w:lineRule="exact"/>
        <w:ind w:firstLine="640" w:firstLineChars="200"/>
        <w:rPr>
          <w:rFonts w:ascii="楷体" w:hAnsi="楷体" w:eastAsia="楷体" w:cs="仿宋"/>
          <w:bCs/>
          <w:color w:val="000000"/>
          <w:kern w:val="0"/>
          <w:sz w:val="32"/>
          <w:szCs w:val="32"/>
        </w:rPr>
      </w:pPr>
      <w:r>
        <w:rPr>
          <w:rFonts w:hint="eastAsia" w:ascii="楷体" w:hAnsi="楷体" w:eastAsia="楷体" w:cs="仿宋"/>
          <w:bCs/>
          <w:color w:val="000000"/>
          <w:kern w:val="0"/>
          <w:sz w:val="32"/>
          <w:szCs w:val="32"/>
        </w:rPr>
        <w:t>（一）参评音乐类作品奖的基本条件</w:t>
      </w:r>
    </w:p>
    <w:p>
      <w:pPr>
        <w:widowControl/>
        <w:spacing w:line="440" w:lineRule="exact"/>
        <w:ind w:firstLine="640" w:firstLineChars="200"/>
        <w:rPr>
          <w:rFonts w:ascii="仿宋" w:hAnsi="仿宋" w:eastAsia="仿宋" w:cs="仿宋"/>
          <w:color w:val="333333"/>
          <w:kern w:val="0"/>
          <w:sz w:val="32"/>
          <w:szCs w:val="32"/>
        </w:rPr>
      </w:pPr>
      <w:r>
        <w:rPr>
          <w:rFonts w:hint="eastAsia" w:ascii="仿宋" w:hAnsi="仿宋" w:eastAsia="仿宋" w:cs="仿宋"/>
          <w:color w:val="333333"/>
          <w:kern w:val="0"/>
          <w:sz w:val="32"/>
          <w:szCs w:val="32"/>
        </w:rPr>
        <w:t>1.具有较高思想性、艺术性，且制作精良。</w:t>
      </w:r>
    </w:p>
    <w:p>
      <w:pPr>
        <w:widowControl/>
        <w:spacing w:line="44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2.主题鲜明、个性突出，具有创新精神。</w:t>
      </w:r>
    </w:p>
    <w:p>
      <w:pPr>
        <w:widowControl/>
        <w:spacing w:line="440" w:lineRule="exact"/>
        <w:ind w:firstLine="640" w:firstLineChars="200"/>
        <w:rPr>
          <w:rFonts w:ascii="仿宋" w:hAnsi="仿宋" w:eastAsia="仿宋" w:cs="仿宋"/>
          <w:color w:val="000000"/>
          <w:kern w:val="0"/>
          <w:sz w:val="32"/>
          <w:szCs w:val="32"/>
          <w:highlight w:val="none"/>
        </w:rPr>
      </w:pPr>
      <w:r>
        <w:rPr>
          <w:rFonts w:hint="eastAsia" w:ascii="仿宋" w:hAnsi="仿宋" w:eastAsia="仿宋" w:cs="仿宋"/>
          <w:color w:val="000000"/>
          <w:kern w:val="0"/>
          <w:sz w:val="32"/>
          <w:szCs w:val="32"/>
        </w:rPr>
        <w:t>3.须在省级以上媒体公开发表</w:t>
      </w:r>
      <w:r>
        <w:rPr>
          <w:rFonts w:hint="eastAsia" w:ascii="仿宋" w:hAnsi="仿宋" w:eastAsia="仿宋" w:cs="仿宋"/>
          <w:color w:val="000000"/>
          <w:kern w:val="0"/>
          <w:sz w:val="32"/>
          <w:szCs w:val="32"/>
          <w:lang w:val="en-US" w:eastAsia="zh-CN"/>
        </w:rPr>
        <w:t>或</w:t>
      </w:r>
      <w:bookmarkStart w:id="0" w:name="_GoBack"/>
      <w:bookmarkEnd w:id="0"/>
      <w:r>
        <w:rPr>
          <w:rFonts w:hint="eastAsia" w:ascii="仿宋" w:hAnsi="仿宋" w:eastAsia="仿宋" w:cs="仿宋"/>
          <w:color w:val="000000"/>
          <w:kern w:val="0"/>
          <w:sz w:val="32"/>
          <w:szCs w:val="32"/>
        </w:rPr>
        <w:t>省级以上重大文艺活动中公开演出或省级以上专业竞赛、评选、展演中获奖，</w:t>
      </w:r>
      <w:r>
        <w:rPr>
          <w:rFonts w:hint="eastAsia" w:ascii="仿宋" w:hAnsi="仿宋" w:eastAsia="仿宋" w:cs="仿宋"/>
          <w:color w:val="000000"/>
          <w:kern w:val="0"/>
          <w:sz w:val="32"/>
          <w:szCs w:val="32"/>
          <w:highlight w:val="none"/>
        </w:rPr>
        <w:t>具有较强的社会影响力的作品。</w:t>
      </w:r>
    </w:p>
    <w:p>
      <w:pPr>
        <w:widowControl/>
        <w:spacing w:line="44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4.参评作品不得侵犯他人的著作权和知识产权，一经发现，即取消该作品的参评资格。由此产生的著作权和知识产权的法律责任，由作者自负。</w:t>
      </w:r>
    </w:p>
    <w:p>
      <w:pPr>
        <w:widowControl/>
        <w:spacing w:line="440" w:lineRule="exact"/>
        <w:ind w:firstLine="640" w:firstLineChars="200"/>
        <w:rPr>
          <w:rFonts w:ascii="楷体" w:hAnsi="楷体" w:eastAsia="楷体" w:cs="仿宋"/>
          <w:bCs/>
          <w:color w:val="000000"/>
          <w:kern w:val="0"/>
          <w:sz w:val="32"/>
          <w:szCs w:val="32"/>
        </w:rPr>
      </w:pPr>
      <w:r>
        <w:rPr>
          <w:rFonts w:hint="eastAsia" w:ascii="楷体" w:hAnsi="楷体" w:eastAsia="楷体" w:cs="仿宋"/>
          <w:bCs/>
          <w:color w:val="000000"/>
          <w:kern w:val="0"/>
          <w:sz w:val="32"/>
          <w:szCs w:val="32"/>
        </w:rPr>
        <w:t>（二）音乐艺术终身成就奖建议人选推荐、申报基本条件</w:t>
      </w:r>
    </w:p>
    <w:p>
      <w:pPr>
        <w:widowControl/>
        <w:spacing w:line="440" w:lineRule="exact"/>
        <w:rPr>
          <w:rFonts w:ascii="仿宋_GB2312" w:hAnsi="仿宋_GB2312" w:eastAsia="仿宋_GB2312" w:cs="Times New Roman"/>
          <w:sz w:val="32"/>
          <w:szCs w:val="21"/>
        </w:rPr>
      </w:pPr>
      <w:r>
        <w:rPr>
          <w:rFonts w:hint="eastAsia" w:ascii="仿宋_GB2312" w:hAnsi="仿宋_GB2312" w:eastAsia="仿宋_GB2312" w:cs="Times New Roman"/>
          <w:sz w:val="32"/>
          <w:szCs w:val="32"/>
        </w:rPr>
        <w:t>推荐音乐类终身成就奖候选人建议人选，应为</w:t>
      </w:r>
      <w:r>
        <w:rPr>
          <w:rFonts w:hint="eastAsia" w:ascii="仿宋_GB2312" w:hAnsi="仿宋_GB2312" w:eastAsia="仿宋_GB2312" w:cs="Times New Roman"/>
          <w:sz w:val="32"/>
          <w:szCs w:val="21"/>
          <w:lang w:val="zh-CN"/>
        </w:rPr>
        <w:t>德高望重、在省内外有较大影响，对音乐事业作出卓越贡献的艺术家及文艺组织工作者</w:t>
      </w:r>
      <w:r>
        <w:rPr>
          <w:rFonts w:hint="eastAsia" w:ascii="仿宋_GB2312" w:hAnsi="仿宋_GB2312" w:eastAsia="仿宋_GB2312" w:cs="Times New Roman"/>
          <w:sz w:val="32"/>
          <w:szCs w:val="21"/>
        </w:rPr>
        <w:t>，</w:t>
      </w:r>
      <w:r>
        <w:rPr>
          <w:rFonts w:ascii="仿宋_GB2312" w:hAnsi="仿宋_GB2312" w:eastAsia="仿宋_GB2312" w:cs="Times New Roman"/>
          <w:sz w:val="32"/>
          <w:szCs w:val="21"/>
        </w:rPr>
        <w:t>应具备</w:t>
      </w:r>
      <w:r>
        <w:rPr>
          <w:rFonts w:hint="eastAsia" w:ascii="仿宋_GB2312" w:hAnsi="仿宋_GB2312" w:eastAsia="仿宋_GB2312" w:cs="Times New Roman"/>
          <w:sz w:val="32"/>
          <w:szCs w:val="21"/>
        </w:rPr>
        <w:t>：</w:t>
      </w:r>
    </w:p>
    <w:p>
      <w:pPr>
        <w:widowControl/>
        <w:spacing w:line="440" w:lineRule="exact"/>
        <w:ind w:firstLine="640" w:firstLineChars="200"/>
        <w:rPr>
          <w:rFonts w:ascii="仿宋_GB2312" w:hAnsi="仿宋_GB2312" w:eastAsia="仿宋_GB2312" w:cs="Times New Roman"/>
          <w:sz w:val="32"/>
          <w:szCs w:val="21"/>
        </w:rPr>
      </w:pPr>
      <w:r>
        <w:rPr>
          <w:rFonts w:hint="eastAsia" w:ascii="仿宋_GB2312" w:hAnsi="仿宋_GB2312" w:eastAsia="仿宋_GB2312" w:cs="Times New Roman"/>
          <w:sz w:val="32"/>
          <w:szCs w:val="21"/>
        </w:rPr>
        <w:t>1.思想</w:t>
      </w:r>
      <w:r>
        <w:rPr>
          <w:rFonts w:ascii="仿宋_GB2312" w:hAnsi="仿宋_GB2312" w:eastAsia="仿宋_GB2312" w:cs="Times New Roman"/>
          <w:sz w:val="32"/>
          <w:szCs w:val="21"/>
        </w:rPr>
        <w:t>素质好，社会责任感强，社会认可度高，具有良好的职业精神和职业道德，积极投身社会活动，热心服务公益事业。</w:t>
      </w:r>
      <w:r>
        <w:rPr>
          <w:rFonts w:hint="eastAsia" w:ascii="仿宋_GB2312" w:hAnsi="仿宋_GB2312" w:eastAsia="仿宋_GB2312" w:cs="Times New Roman"/>
          <w:sz w:val="32"/>
          <w:szCs w:val="21"/>
        </w:rPr>
        <w:t xml:space="preserve">  </w:t>
      </w:r>
    </w:p>
    <w:p>
      <w:pPr>
        <w:widowControl/>
        <w:spacing w:line="440" w:lineRule="exact"/>
        <w:ind w:firstLine="640" w:firstLineChars="200"/>
        <w:rPr>
          <w:rFonts w:ascii="仿宋_GB2312" w:hAnsi="仿宋_GB2312" w:eastAsia="仿宋_GB2312" w:cs="Times New Roman"/>
          <w:sz w:val="32"/>
          <w:szCs w:val="21"/>
        </w:rPr>
      </w:pPr>
      <w:r>
        <w:rPr>
          <w:rFonts w:hint="eastAsia" w:ascii="仿宋_GB2312" w:hAnsi="仿宋_GB2312" w:eastAsia="仿宋_GB2312" w:cs="Times New Roman"/>
          <w:sz w:val="32"/>
          <w:szCs w:val="21"/>
        </w:rPr>
        <w:t>2.在音乐</w:t>
      </w:r>
      <w:r>
        <w:rPr>
          <w:rFonts w:ascii="仿宋_GB2312" w:hAnsi="仿宋_GB2312" w:eastAsia="仿宋_GB2312" w:cs="Times New Roman"/>
          <w:sz w:val="32"/>
          <w:szCs w:val="21"/>
        </w:rPr>
        <w:t>艺术领域内享有较高的知名度和广泛持久的影响力</w:t>
      </w:r>
      <w:r>
        <w:rPr>
          <w:rFonts w:hint="eastAsia" w:ascii="仿宋_GB2312" w:hAnsi="仿宋_GB2312" w:eastAsia="仿宋_GB2312" w:cs="Times New Roman"/>
          <w:sz w:val="32"/>
          <w:szCs w:val="21"/>
        </w:rPr>
        <w:t>、</w:t>
      </w:r>
      <w:r>
        <w:rPr>
          <w:rFonts w:ascii="仿宋_GB2312" w:hAnsi="仿宋_GB2312" w:eastAsia="仿宋_GB2312" w:cs="Times New Roman"/>
          <w:sz w:val="32"/>
          <w:szCs w:val="21"/>
        </w:rPr>
        <w:t>艺术造诣深。本人或其作品曾在国内、国际大型</w:t>
      </w:r>
      <w:r>
        <w:rPr>
          <w:rFonts w:hint="eastAsia" w:ascii="仿宋_GB2312" w:hAnsi="仿宋_GB2312" w:eastAsia="仿宋_GB2312" w:cs="Times New Roman"/>
          <w:sz w:val="32"/>
          <w:szCs w:val="21"/>
          <w:lang w:val="en-US" w:eastAsia="zh-CN"/>
        </w:rPr>
        <w:t>展、</w:t>
      </w:r>
      <w:r>
        <w:rPr>
          <w:rFonts w:ascii="仿宋_GB2312" w:hAnsi="仿宋_GB2312" w:eastAsia="仿宋_GB2312" w:cs="Times New Roman"/>
          <w:sz w:val="32"/>
          <w:szCs w:val="21"/>
        </w:rPr>
        <w:t>赛中获奖。</w:t>
      </w:r>
    </w:p>
    <w:p>
      <w:pPr>
        <w:widowControl/>
        <w:spacing w:line="44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3.获得过省级以上宣传文化部门表彰、及省级以上权威音乐评审机构所颁文艺大奖。</w:t>
      </w:r>
    </w:p>
    <w:p>
      <w:pPr>
        <w:widowControl/>
        <w:spacing w:line="440" w:lineRule="exact"/>
        <w:ind w:firstLine="640" w:firstLineChars="200"/>
        <w:rPr>
          <w:rFonts w:ascii="仿宋_GB2312" w:hAnsi="仿宋_GB2312" w:eastAsia="仿宋_GB2312" w:cs="Times New Roman"/>
          <w:sz w:val="32"/>
          <w:szCs w:val="21"/>
        </w:rPr>
      </w:pPr>
      <w:r>
        <w:rPr>
          <w:rFonts w:hint="eastAsia" w:ascii="仿宋_GB2312" w:hAnsi="仿宋_GB2312" w:eastAsia="仿宋_GB2312" w:cs="Times New Roman"/>
          <w:sz w:val="32"/>
          <w:szCs w:val="21"/>
        </w:rPr>
        <w:t>4.</w:t>
      </w:r>
      <w:r>
        <w:rPr>
          <w:rFonts w:ascii="仿宋_GB2312" w:hAnsi="仿宋_GB2312" w:eastAsia="仿宋_GB2312" w:cs="Times New Roman"/>
          <w:sz w:val="32"/>
          <w:szCs w:val="21"/>
        </w:rPr>
        <w:t>年龄在</w:t>
      </w:r>
      <w:r>
        <w:rPr>
          <w:rFonts w:hint="eastAsia" w:ascii="仿宋_GB2312" w:hAnsi="仿宋_GB2312" w:eastAsia="仿宋_GB2312" w:cs="Times New Roman"/>
          <w:sz w:val="32"/>
          <w:szCs w:val="21"/>
        </w:rPr>
        <w:t>75周岁</w:t>
      </w:r>
      <w:r>
        <w:rPr>
          <w:rFonts w:ascii="仿宋_GB2312" w:hAnsi="仿宋_GB2312" w:eastAsia="仿宋_GB2312" w:cs="Times New Roman"/>
          <w:sz w:val="32"/>
          <w:szCs w:val="21"/>
        </w:rPr>
        <w:t>以上。</w:t>
      </w:r>
    </w:p>
    <w:p>
      <w:pPr>
        <w:widowControl/>
        <w:spacing w:line="440" w:lineRule="exact"/>
        <w:ind w:firstLine="640" w:firstLineChars="200"/>
        <w:rPr>
          <w:rFonts w:ascii="仿宋_GB2312" w:hAnsi="仿宋_GB2312" w:eastAsia="仿宋_GB2312" w:cs="Times New Roman"/>
          <w:sz w:val="32"/>
          <w:szCs w:val="21"/>
        </w:rPr>
      </w:pPr>
      <w:r>
        <w:rPr>
          <w:rFonts w:hint="eastAsia" w:ascii="仿宋_GB2312" w:hAnsi="仿宋_GB2312" w:eastAsia="仿宋_GB2312" w:cs="Times New Roman"/>
          <w:sz w:val="32"/>
          <w:szCs w:val="21"/>
        </w:rPr>
        <w:t>5.“</w:t>
      </w:r>
      <w:r>
        <w:rPr>
          <w:rFonts w:ascii="仿宋_GB2312" w:hAnsi="仿宋_GB2312" w:eastAsia="仿宋_GB2312" w:cs="Times New Roman"/>
          <w:sz w:val="32"/>
          <w:szCs w:val="21"/>
        </w:rPr>
        <w:t>政府</w:t>
      </w:r>
      <w:r>
        <w:rPr>
          <w:rFonts w:hint="eastAsia" w:ascii="仿宋_GB2312" w:hAnsi="仿宋_GB2312" w:eastAsia="仿宋_GB2312" w:cs="Times New Roman"/>
          <w:sz w:val="32"/>
          <w:szCs w:val="21"/>
        </w:rPr>
        <w:t>特殊津贴</w:t>
      </w:r>
      <w:r>
        <w:rPr>
          <w:rFonts w:ascii="仿宋_GB2312" w:hAnsi="仿宋_GB2312" w:eastAsia="仿宋_GB2312" w:cs="Times New Roman"/>
          <w:sz w:val="32"/>
          <w:szCs w:val="21"/>
        </w:rPr>
        <w:t>”</w:t>
      </w:r>
      <w:r>
        <w:rPr>
          <w:rFonts w:hint="eastAsia" w:ascii="仿宋_GB2312" w:hAnsi="仿宋_GB2312" w:eastAsia="仿宋_GB2312" w:cs="Times New Roman"/>
          <w:sz w:val="32"/>
          <w:szCs w:val="21"/>
        </w:rPr>
        <w:t>获得者</w:t>
      </w:r>
      <w:r>
        <w:rPr>
          <w:rFonts w:ascii="仿宋_GB2312" w:hAnsi="仿宋_GB2312" w:eastAsia="仿宋_GB2312" w:cs="Times New Roman"/>
          <w:sz w:val="32"/>
          <w:szCs w:val="21"/>
        </w:rPr>
        <w:t>或荣获过省部级以上授予的“</w:t>
      </w:r>
      <w:r>
        <w:rPr>
          <w:rFonts w:hint="eastAsia" w:ascii="仿宋_GB2312" w:hAnsi="仿宋_GB2312" w:eastAsia="仿宋_GB2312" w:cs="Times New Roman"/>
          <w:sz w:val="32"/>
          <w:szCs w:val="21"/>
        </w:rPr>
        <w:t>德艺</w:t>
      </w:r>
      <w:r>
        <w:rPr>
          <w:rFonts w:ascii="仿宋_GB2312" w:hAnsi="仿宋_GB2312" w:eastAsia="仿宋_GB2312" w:cs="Times New Roman"/>
          <w:sz w:val="32"/>
          <w:szCs w:val="21"/>
        </w:rPr>
        <w:t>双馨</w:t>
      </w:r>
      <w:r>
        <w:rPr>
          <w:rFonts w:hint="eastAsia" w:ascii="仿宋_GB2312" w:hAnsi="仿宋_GB2312" w:eastAsia="仿宋_GB2312" w:cs="Times New Roman"/>
          <w:sz w:val="32"/>
          <w:szCs w:val="21"/>
          <w:lang w:eastAsia="zh-CN"/>
        </w:rPr>
        <w:t>”</w:t>
      </w:r>
      <w:r>
        <w:rPr>
          <w:rFonts w:hint="eastAsia" w:ascii="仿宋_GB2312" w:hAnsi="仿宋_GB2312" w:eastAsia="仿宋_GB2312" w:cs="Times New Roman"/>
          <w:sz w:val="32"/>
          <w:szCs w:val="21"/>
        </w:rPr>
        <w:t>、</w:t>
      </w:r>
      <w:r>
        <w:rPr>
          <w:rFonts w:ascii="仿宋_GB2312" w:hAnsi="仿宋_GB2312" w:eastAsia="仿宋_GB2312" w:cs="Times New Roman"/>
          <w:sz w:val="32"/>
          <w:szCs w:val="21"/>
        </w:rPr>
        <w:t>“</w:t>
      </w:r>
      <w:r>
        <w:rPr>
          <w:rFonts w:hint="eastAsia" w:ascii="仿宋_GB2312" w:hAnsi="仿宋_GB2312" w:eastAsia="仿宋_GB2312" w:cs="Times New Roman"/>
          <w:sz w:val="32"/>
          <w:szCs w:val="21"/>
        </w:rPr>
        <w:t>优秀</w:t>
      </w:r>
      <w:r>
        <w:rPr>
          <w:rFonts w:ascii="仿宋_GB2312" w:hAnsi="仿宋_GB2312" w:eastAsia="仿宋_GB2312" w:cs="Times New Roman"/>
          <w:sz w:val="32"/>
          <w:szCs w:val="21"/>
        </w:rPr>
        <w:t>专家”</w:t>
      </w:r>
      <w:r>
        <w:rPr>
          <w:rFonts w:hint="eastAsia" w:ascii="仿宋_GB2312" w:hAnsi="仿宋_GB2312" w:eastAsia="仿宋_GB2312" w:cs="Times New Roman"/>
          <w:sz w:val="32"/>
          <w:szCs w:val="21"/>
        </w:rPr>
        <w:t>等</w:t>
      </w:r>
      <w:r>
        <w:rPr>
          <w:rFonts w:ascii="仿宋_GB2312" w:hAnsi="仿宋_GB2312" w:eastAsia="仿宋_GB2312" w:cs="Times New Roman"/>
          <w:sz w:val="32"/>
          <w:szCs w:val="21"/>
        </w:rPr>
        <w:t>荣誉称号者优先。</w:t>
      </w:r>
    </w:p>
    <w:p>
      <w:pPr>
        <w:widowControl/>
        <w:spacing w:line="440" w:lineRule="exact"/>
        <w:ind w:firstLine="640" w:firstLineChars="200"/>
        <w:rPr>
          <w:rFonts w:ascii="仿宋_GB2312" w:hAnsi="仿宋_GB2312" w:eastAsia="仿宋_GB2312" w:cs="Times New Roman"/>
          <w:sz w:val="32"/>
          <w:szCs w:val="21"/>
        </w:rPr>
      </w:pPr>
      <w:r>
        <w:rPr>
          <w:rFonts w:hint="eastAsia" w:ascii="仿宋_GB2312" w:hAnsi="仿宋_GB2312" w:eastAsia="仿宋_GB2312" w:cs="Times New Roman"/>
          <w:sz w:val="32"/>
          <w:szCs w:val="21"/>
          <w:lang w:val="zh-CN"/>
        </w:rPr>
        <w:t>获奖人数可以少于规定数额或空缺。</w:t>
      </w:r>
    </w:p>
    <w:p>
      <w:pPr>
        <w:widowControl/>
        <w:spacing w:line="440" w:lineRule="exact"/>
        <w:ind w:firstLine="640" w:firstLineChars="200"/>
        <w:rPr>
          <w:rFonts w:ascii="楷体" w:hAnsi="楷体" w:eastAsia="楷体" w:cs="仿宋"/>
          <w:bCs/>
          <w:color w:val="000000"/>
          <w:kern w:val="0"/>
          <w:sz w:val="32"/>
          <w:szCs w:val="32"/>
        </w:rPr>
      </w:pPr>
      <w:r>
        <w:rPr>
          <w:rFonts w:hint="eastAsia" w:ascii="仿宋_GB2312" w:hAnsi="仿宋_GB2312" w:eastAsia="仿宋_GB2312" w:cs="Times New Roman"/>
          <w:sz w:val="32"/>
          <w:szCs w:val="21"/>
          <w:lang w:val="zh-CN"/>
        </w:rPr>
        <w:t>获得过第一、二、</w:t>
      </w:r>
      <w:r>
        <w:rPr>
          <w:rFonts w:ascii="仿宋_GB2312" w:hAnsi="仿宋_GB2312" w:eastAsia="仿宋_GB2312" w:cs="Times New Roman"/>
          <w:sz w:val="32"/>
          <w:szCs w:val="21"/>
          <w:lang w:val="zh-CN"/>
        </w:rPr>
        <w:t>三</w:t>
      </w:r>
      <w:r>
        <w:rPr>
          <w:rFonts w:hint="eastAsia" w:ascii="仿宋_GB2312" w:hAnsi="仿宋_GB2312" w:eastAsia="仿宋_GB2312" w:cs="Times New Roman"/>
          <w:sz w:val="32"/>
          <w:szCs w:val="21"/>
          <w:lang w:val="zh-CN"/>
        </w:rPr>
        <w:t>届海南省南海文艺奖终身成就奖的音乐家和文艺组织工作者不再参加评选。</w:t>
      </w:r>
    </w:p>
    <w:p>
      <w:pPr>
        <w:widowControl/>
        <w:spacing w:line="440" w:lineRule="exact"/>
        <w:ind w:firstLine="643" w:firstLineChars="200"/>
        <w:rPr>
          <w:rFonts w:ascii="黑体" w:hAnsi="黑体" w:eastAsia="黑体" w:cs="宋体"/>
          <w:b/>
          <w:color w:val="000000"/>
          <w:kern w:val="0"/>
          <w:sz w:val="32"/>
          <w:szCs w:val="32"/>
        </w:rPr>
      </w:pPr>
      <w:r>
        <w:rPr>
          <w:rFonts w:hint="eastAsia" w:ascii="黑体" w:hAnsi="黑体" w:eastAsia="黑体" w:cs="宋体"/>
          <w:b/>
          <w:color w:val="000000"/>
          <w:kern w:val="0"/>
          <w:sz w:val="32"/>
          <w:szCs w:val="32"/>
        </w:rPr>
        <w:t>三、奖项设置</w:t>
      </w:r>
    </w:p>
    <w:p>
      <w:pPr>
        <w:widowControl/>
        <w:spacing w:line="44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南海</w:t>
      </w:r>
      <w:r>
        <w:rPr>
          <w:rFonts w:ascii="仿宋" w:hAnsi="仿宋" w:eastAsia="仿宋" w:cs="仿宋"/>
          <w:color w:val="000000"/>
          <w:kern w:val="0"/>
          <w:sz w:val="32"/>
          <w:szCs w:val="32"/>
        </w:rPr>
        <w:t>文艺奖音乐</w:t>
      </w:r>
      <w:r>
        <w:rPr>
          <w:rFonts w:hint="eastAsia" w:ascii="仿宋" w:hAnsi="仿宋" w:eastAsia="仿宋" w:cs="仿宋"/>
          <w:color w:val="000000"/>
          <w:kern w:val="0"/>
          <w:sz w:val="32"/>
          <w:szCs w:val="32"/>
        </w:rPr>
        <w:t>类</w:t>
      </w:r>
      <w:r>
        <w:rPr>
          <w:rFonts w:ascii="仿宋" w:hAnsi="仿宋" w:eastAsia="仿宋" w:cs="仿宋"/>
          <w:color w:val="000000"/>
          <w:kern w:val="0"/>
          <w:sz w:val="32"/>
          <w:szCs w:val="32"/>
        </w:rPr>
        <w:t>设</w:t>
      </w:r>
      <w:r>
        <w:rPr>
          <w:rFonts w:hint="eastAsia" w:ascii="仿宋" w:hAnsi="仿宋" w:eastAsia="仿宋" w:cs="仿宋"/>
          <w:color w:val="000000"/>
          <w:kern w:val="0"/>
          <w:sz w:val="32"/>
          <w:szCs w:val="32"/>
        </w:rPr>
        <w:t>作品奖6部</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件</w:t>
      </w:r>
      <w:r>
        <w:rPr>
          <w:rFonts w:ascii="仿宋" w:hAnsi="仿宋" w:eastAsia="仿宋" w:cs="仿宋"/>
          <w:color w:val="000000"/>
          <w:kern w:val="0"/>
          <w:sz w:val="32"/>
          <w:szCs w:val="32"/>
        </w:rPr>
        <w:t>），获奖者各奖励</w:t>
      </w:r>
      <w:r>
        <w:rPr>
          <w:rFonts w:hint="eastAsia" w:ascii="仿宋" w:hAnsi="仿宋" w:eastAsia="仿宋" w:cs="仿宋"/>
          <w:color w:val="000000"/>
          <w:kern w:val="0"/>
          <w:sz w:val="32"/>
          <w:szCs w:val="32"/>
        </w:rPr>
        <w:t>1万元</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税后</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，奖金</w:t>
      </w:r>
      <w:r>
        <w:rPr>
          <w:rFonts w:ascii="仿宋" w:hAnsi="仿宋" w:eastAsia="仿宋" w:cs="仿宋"/>
          <w:color w:val="000000"/>
          <w:kern w:val="0"/>
          <w:sz w:val="32"/>
          <w:szCs w:val="32"/>
        </w:rPr>
        <w:t>共计</w:t>
      </w:r>
      <w:r>
        <w:rPr>
          <w:rFonts w:hint="eastAsia" w:ascii="仿宋" w:hAnsi="仿宋" w:eastAsia="仿宋" w:cs="仿宋"/>
          <w:color w:val="000000"/>
          <w:kern w:val="0"/>
          <w:sz w:val="32"/>
          <w:szCs w:val="32"/>
        </w:rPr>
        <w:t>6万元</w:t>
      </w:r>
      <w:r>
        <w:rPr>
          <w:rFonts w:ascii="仿宋" w:hAnsi="仿宋" w:eastAsia="仿宋" w:cs="仿宋"/>
          <w:color w:val="000000"/>
          <w:kern w:val="0"/>
          <w:sz w:val="32"/>
          <w:szCs w:val="32"/>
        </w:rPr>
        <w:t>；获奖作品出现名额空缺，奖金按空缺数</w:t>
      </w:r>
      <w:r>
        <w:rPr>
          <w:rFonts w:hint="eastAsia" w:ascii="仿宋" w:hAnsi="仿宋" w:eastAsia="仿宋" w:cs="仿宋"/>
          <w:color w:val="000000"/>
          <w:kern w:val="0"/>
          <w:sz w:val="32"/>
          <w:szCs w:val="32"/>
        </w:rPr>
        <w:t>扣减</w:t>
      </w:r>
      <w:r>
        <w:rPr>
          <w:rFonts w:ascii="仿宋" w:hAnsi="仿宋" w:eastAsia="仿宋" w:cs="仿宋"/>
          <w:color w:val="000000"/>
          <w:kern w:val="0"/>
          <w:sz w:val="32"/>
          <w:szCs w:val="32"/>
        </w:rPr>
        <w:t>。</w:t>
      </w:r>
    </w:p>
    <w:p>
      <w:pPr>
        <w:widowControl/>
        <w:spacing w:line="440" w:lineRule="exact"/>
        <w:ind w:firstLine="643" w:firstLineChars="200"/>
        <w:rPr>
          <w:rFonts w:ascii="宋体" w:hAnsi="宋体" w:eastAsia="宋体" w:cs="宋体"/>
          <w:b/>
          <w:color w:val="000000"/>
          <w:kern w:val="0"/>
          <w:sz w:val="32"/>
          <w:szCs w:val="32"/>
        </w:rPr>
      </w:pPr>
      <w:r>
        <w:rPr>
          <w:rFonts w:hint="eastAsia" w:ascii="宋体" w:hAnsi="宋体" w:eastAsia="宋体" w:cs="宋体"/>
          <w:b/>
          <w:color w:val="000000"/>
          <w:kern w:val="0"/>
          <w:sz w:val="32"/>
          <w:szCs w:val="32"/>
        </w:rPr>
        <w:t>四、组织机构</w:t>
      </w:r>
    </w:p>
    <w:p>
      <w:pPr>
        <w:widowControl/>
        <w:spacing w:line="44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（一）根据《海南省南海文艺奖评奖章程》规定，由海南省南海文艺奖评审委员会负责奖项设置、终评、表彰等工作。</w:t>
      </w:r>
    </w:p>
    <w:p>
      <w:pPr>
        <w:widowControl/>
        <w:spacing w:line="44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二）按照《评奖实施方案》要求，南海文艺奖评审委员会办公室成立“南海文艺奖音乐类专家评审委员会”负责评审工作，专家评审委员会”由7位专家组成，设主任1名，专家从“海南省南海文艺奖评审专家库”中抽选聘任。评审结果报“海南省南海文艺奖评审委员会”进行审定。</w:t>
      </w:r>
    </w:p>
    <w:p>
      <w:pPr>
        <w:widowControl/>
        <w:spacing w:line="44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（三）“专家评审委员会”实行回避制。凡自身有作品申报、与申报作品作者有亲情连带关系、以及有师生、上下级关系者等，不得担任评委。</w:t>
      </w:r>
    </w:p>
    <w:p>
      <w:pPr>
        <w:widowControl/>
        <w:numPr>
          <w:ilvl w:val="0"/>
          <w:numId w:val="2"/>
        </w:numPr>
        <w:spacing w:line="440" w:lineRule="exact"/>
        <w:ind w:firstLine="643" w:firstLineChars="200"/>
        <w:rPr>
          <w:rFonts w:ascii="宋体" w:hAnsi="宋体" w:eastAsia="宋体" w:cs="宋体"/>
          <w:b/>
          <w:color w:val="000000"/>
          <w:kern w:val="0"/>
          <w:sz w:val="32"/>
          <w:szCs w:val="32"/>
        </w:rPr>
      </w:pPr>
      <w:r>
        <w:rPr>
          <w:rFonts w:hint="eastAsia" w:ascii="宋体" w:hAnsi="宋体" w:eastAsia="宋体" w:cs="宋体"/>
          <w:b/>
          <w:color w:val="000000"/>
          <w:kern w:val="0"/>
          <w:sz w:val="32"/>
          <w:szCs w:val="32"/>
        </w:rPr>
        <w:t>作品申报程序及名额分配</w:t>
      </w:r>
    </w:p>
    <w:p>
      <w:pPr>
        <w:widowControl/>
        <w:spacing w:line="440" w:lineRule="exact"/>
        <w:ind w:firstLine="640" w:firstLineChars="200"/>
        <w:rPr>
          <w:rFonts w:ascii="仿宋" w:hAnsi="仿宋" w:eastAsia="仿宋" w:cs="仿宋"/>
          <w:color w:val="333333"/>
          <w:kern w:val="0"/>
          <w:sz w:val="32"/>
          <w:szCs w:val="32"/>
        </w:rPr>
      </w:pPr>
      <w:r>
        <w:rPr>
          <w:rFonts w:hint="eastAsia" w:ascii="仿宋" w:hAnsi="仿宋" w:eastAsia="仿宋" w:cs="仿宋"/>
          <w:color w:val="000000"/>
          <w:kern w:val="0"/>
          <w:sz w:val="32"/>
          <w:szCs w:val="32"/>
        </w:rPr>
        <w:t>申报作品须经省直宣传文化各单位（厅局级）、海南省军区政治部、省属高等艺术院校，及各市县、各大企业文联等相关机构，按分配名额进行推选，并由推选单位或主管单位审核加盖公章后推荐申报，音乐类初审办公室不接受个人作品申报。省直单位、部门和高等院校，原则上推荐申报音乐类作品1～5首（部）；各市县、大企业文联推荐申报作品1～3首（部），省外人员作品直接报省音乐家协会。</w:t>
      </w:r>
      <w:r>
        <w:rPr>
          <w:rFonts w:hint="eastAsia" w:ascii="仿宋" w:hAnsi="仿宋" w:eastAsia="仿宋" w:cs="仿宋"/>
          <w:color w:val="333333"/>
          <w:kern w:val="0"/>
          <w:sz w:val="32"/>
          <w:szCs w:val="32"/>
        </w:rPr>
        <w:t>音乐艺术类终身成就奖参评人选，由音乐类专家评审委员会推荐报南海文艺奖评审委员会审定。</w:t>
      </w:r>
    </w:p>
    <w:p>
      <w:pPr>
        <w:widowControl/>
        <w:numPr>
          <w:ilvl w:val="0"/>
          <w:numId w:val="2"/>
        </w:numPr>
        <w:spacing w:line="440" w:lineRule="exact"/>
        <w:ind w:firstLine="643" w:firstLineChars="200"/>
        <w:rPr>
          <w:rFonts w:ascii="黑体" w:hAnsi="黑体" w:eastAsia="黑体" w:cs="宋体"/>
          <w:b/>
          <w:color w:val="333333"/>
          <w:kern w:val="0"/>
          <w:sz w:val="32"/>
          <w:szCs w:val="32"/>
        </w:rPr>
      </w:pPr>
      <w:r>
        <w:rPr>
          <w:rFonts w:hint="eastAsia" w:ascii="黑体" w:hAnsi="黑体" w:eastAsia="黑体" w:cs="宋体"/>
          <w:b/>
          <w:color w:val="333333"/>
          <w:kern w:val="0"/>
          <w:sz w:val="32"/>
          <w:szCs w:val="32"/>
        </w:rPr>
        <w:t>申报要求</w:t>
      </w:r>
    </w:p>
    <w:p>
      <w:pPr>
        <w:widowControl/>
        <w:spacing w:line="44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（一）各申报单位按照申报推荐有关规定，填写《海南省南海文艺奖音乐类作品申报表》（一式3份）、获奖证书复印件（推荐单位审核盖章）3份，并提供有关广电媒体出具的演出、发表、刊播时间证明材料。</w:t>
      </w:r>
    </w:p>
    <w:p>
      <w:pPr>
        <w:widowControl/>
        <w:spacing w:line="44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（二）所有声乐、器乐作品需</w:t>
      </w:r>
      <w:r>
        <w:rPr>
          <w:rFonts w:hint="eastAsia" w:ascii="仿宋" w:hAnsi="仿宋" w:eastAsia="仿宋" w:cs="仿宋"/>
          <w:color w:val="000000"/>
          <w:kern w:val="0"/>
          <w:sz w:val="32"/>
          <w:szCs w:val="32"/>
          <w:highlight w:val="yellow"/>
          <w:u w:val="single"/>
        </w:rPr>
        <w:t>报送乐谱8份，其中7分乐谱隐去词曲作者</w:t>
      </w:r>
      <w:r>
        <w:rPr>
          <w:rFonts w:hint="eastAsia" w:ascii="仿宋" w:hAnsi="仿宋" w:eastAsia="仿宋" w:cs="仿宋"/>
          <w:color w:val="000000"/>
          <w:kern w:val="0"/>
          <w:sz w:val="32"/>
          <w:szCs w:val="32"/>
          <w:highlight w:val="yellow"/>
        </w:rPr>
        <w:t>，</w:t>
      </w:r>
      <w:r>
        <w:rPr>
          <w:rFonts w:hint="eastAsia" w:ascii="仿宋" w:hAnsi="仿宋" w:eastAsia="仿宋" w:cs="仿宋"/>
          <w:color w:val="000000"/>
          <w:kern w:val="0"/>
          <w:sz w:val="32"/>
          <w:szCs w:val="32"/>
        </w:rPr>
        <w:t>以及U盘装载音频或视频2份和200字以内作品简介2份。</w:t>
      </w:r>
    </w:p>
    <w:p>
      <w:pPr>
        <w:widowControl/>
        <w:spacing w:line="440" w:lineRule="exact"/>
        <w:ind w:firstLine="640" w:firstLineChars="200"/>
        <w:rPr>
          <w:rFonts w:ascii="仿宋" w:hAnsi="仿宋" w:eastAsia="仿宋" w:cs="仿宋"/>
          <w:color w:val="000000"/>
          <w:kern w:val="0"/>
          <w:sz w:val="32"/>
          <w:szCs w:val="32"/>
        </w:rPr>
      </w:pPr>
      <w:r>
        <w:rPr>
          <w:rFonts w:hint="eastAsia" w:ascii="仿宋" w:hAnsi="仿宋" w:eastAsia="仿宋" w:cs="仿宋"/>
          <w:color w:val="333333"/>
          <w:kern w:val="0"/>
          <w:sz w:val="32"/>
          <w:szCs w:val="32"/>
        </w:rPr>
        <w:t>（三）参评音乐艺术终身成就奖者，需填写《海南省南海文艺奖音乐</w:t>
      </w:r>
      <w:r>
        <w:rPr>
          <w:rFonts w:hint="eastAsia" w:ascii="仿宋" w:hAnsi="仿宋" w:eastAsia="仿宋" w:cs="仿宋"/>
          <w:color w:val="000000"/>
          <w:kern w:val="0"/>
          <w:sz w:val="32"/>
          <w:szCs w:val="32"/>
        </w:rPr>
        <w:t>艺术终身成就奖申报表》（一式3份），附1000字左右事迹材料及有关获奖证书复印件3份。</w:t>
      </w:r>
    </w:p>
    <w:p>
      <w:pPr>
        <w:widowControl/>
        <w:spacing w:line="44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（四）音乐类初审办公室不受理网上申报。</w:t>
      </w:r>
    </w:p>
    <w:p>
      <w:pPr>
        <w:widowControl/>
        <w:spacing w:line="44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（五）申报资料截止日期为202</w:t>
      </w:r>
      <w:r>
        <w:rPr>
          <w:rFonts w:hint="eastAsia" w:ascii="仿宋" w:hAnsi="仿宋" w:eastAsia="仿宋" w:cs="仿宋"/>
          <w:color w:val="000000"/>
          <w:kern w:val="0"/>
          <w:sz w:val="32"/>
          <w:szCs w:val="32"/>
          <w:lang w:val="en-US" w:eastAsia="zh-CN"/>
        </w:rPr>
        <w:t>3</w:t>
      </w:r>
      <w:r>
        <w:rPr>
          <w:rFonts w:hint="eastAsia" w:ascii="仿宋" w:hAnsi="仿宋" w:eastAsia="仿宋" w:cs="仿宋"/>
          <w:color w:val="000000"/>
          <w:kern w:val="0"/>
          <w:sz w:val="32"/>
          <w:szCs w:val="32"/>
        </w:rPr>
        <w:t>年</w:t>
      </w:r>
      <w:r>
        <w:rPr>
          <w:rFonts w:hint="eastAsia" w:ascii="仿宋" w:hAnsi="仿宋" w:eastAsia="仿宋" w:cs="仿宋"/>
          <w:color w:val="000000"/>
          <w:kern w:val="0"/>
          <w:sz w:val="32"/>
          <w:szCs w:val="32"/>
          <w:lang w:val="en-US" w:eastAsia="zh-CN"/>
        </w:rPr>
        <w:t>8</w:t>
      </w:r>
      <w:r>
        <w:rPr>
          <w:rFonts w:hint="eastAsia" w:ascii="仿宋" w:hAnsi="仿宋" w:eastAsia="仿宋" w:cs="仿宋"/>
          <w:color w:val="000000"/>
          <w:kern w:val="0"/>
          <w:sz w:val="32"/>
          <w:szCs w:val="32"/>
        </w:rPr>
        <w:t>月</w:t>
      </w:r>
      <w:r>
        <w:rPr>
          <w:rFonts w:hint="eastAsia" w:ascii="仿宋" w:hAnsi="仿宋" w:eastAsia="仿宋" w:cs="仿宋"/>
          <w:color w:val="000000"/>
          <w:kern w:val="0"/>
          <w:sz w:val="32"/>
          <w:szCs w:val="32"/>
          <w:lang w:val="en-US" w:eastAsia="zh-CN"/>
        </w:rPr>
        <w:t>30</w:t>
      </w:r>
      <w:r>
        <w:rPr>
          <w:rFonts w:hint="eastAsia" w:ascii="仿宋" w:hAnsi="仿宋" w:eastAsia="仿宋" w:cs="仿宋"/>
          <w:color w:val="000000"/>
          <w:kern w:val="0"/>
          <w:sz w:val="32"/>
          <w:szCs w:val="32"/>
        </w:rPr>
        <w:t>日。各单位须于截止日期前将申报资料报（寄）送海南省音乐家协会，报送资料截止日期以邮戳日期为准。</w:t>
      </w:r>
    </w:p>
    <w:p>
      <w:pPr>
        <w:widowControl/>
        <w:numPr>
          <w:ilvl w:val="0"/>
          <w:numId w:val="2"/>
        </w:numPr>
        <w:spacing w:line="440" w:lineRule="exact"/>
        <w:ind w:firstLine="643" w:firstLineChars="200"/>
        <w:rPr>
          <w:rFonts w:ascii="宋体" w:hAnsi="宋体" w:eastAsia="宋体" w:cs="宋体"/>
          <w:b/>
          <w:color w:val="000000"/>
          <w:kern w:val="0"/>
          <w:sz w:val="32"/>
          <w:szCs w:val="32"/>
        </w:rPr>
      </w:pPr>
      <w:r>
        <w:rPr>
          <w:rFonts w:hint="eastAsia" w:ascii="宋体" w:hAnsi="宋体" w:eastAsia="宋体" w:cs="宋体"/>
          <w:b/>
          <w:color w:val="000000"/>
          <w:kern w:val="0"/>
          <w:sz w:val="32"/>
          <w:szCs w:val="32"/>
        </w:rPr>
        <w:t>评选程序及方法</w:t>
      </w:r>
    </w:p>
    <w:p>
      <w:pPr>
        <w:widowControl/>
        <w:spacing w:line="44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（一）由海南省音乐家协会初审办公室对征集的作品进行初审，完成15件参评</w:t>
      </w:r>
      <w:r>
        <w:rPr>
          <w:rFonts w:ascii="仿宋" w:hAnsi="仿宋" w:eastAsia="仿宋" w:cs="仿宋"/>
          <w:color w:val="000000"/>
          <w:kern w:val="0"/>
          <w:sz w:val="32"/>
          <w:szCs w:val="32"/>
        </w:rPr>
        <w:t>作品的申报。</w:t>
      </w:r>
    </w:p>
    <w:p>
      <w:pPr>
        <w:widowControl/>
        <w:spacing w:line="44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二）南海文艺奖评审委员会办公室成立“音乐类专家评审委员会”，评审办从音乐类专家库抽取专家评委，专家评委根据《评奖实施方案》要求，对各单位报送的参评作品进行认真、严格、规范的评审，以实名投票方式产生提名作品9件和音乐艺术终身成就奖候选人建议人选1名，结果报南海文艺奖评审委员会办公室进行公示。</w:t>
      </w:r>
    </w:p>
    <w:p>
      <w:pPr>
        <w:widowControl/>
        <w:spacing w:line="44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（三）专家评审委员会在充分评议的基础上，按照评奖数额，以实名投票方式评出拟获奖作品6件。</w:t>
      </w:r>
    </w:p>
    <w:p>
      <w:pPr>
        <w:widowControl/>
        <w:spacing w:line="44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（四）省评审委听取评审委员会办公室评审结果汇报后，审定评审结果。</w:t>
      </w:r>
    </w:p>
    <w:p>
      <w:pPr>
        <w:widowControl/>
        <w:spacing w:line="44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（五）根据具体评审标准和情况，奖项名额可空缺。</w:t>
      </w:r>
    </w:p>
    <w:p>
      <w:pPr>
        <w:widowControl/>
        <w:spacing w:line="44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说明：参评作品数不达15件，按实际报送数除以1.7进入提名作品；提名作品除以1.5进入获奖作品。</w:t>
      </w:r>
    </w:p>
    <w:p>
      <w:pPr>
        <w:widowControl/>
        <w:spacing w:line="440" w:lineRule="exact"/>
        <w:ind w:firstLine="643" w:firstLineChars="200"/>
        <w:rPr>
          <w:rFonts w:ascii="宋体" w:hAnsi="宋体" w:eastAsia="宋体" w:cs="宋体"/>
          <w:b/>
          <w:color w:val="000000"/>
          <w:kern w:val="0"/>
          <w:sz w:val="32"/>
          <w:szCs w:val="32"/>
        </w:rPr>
      </w:pPr>
      <w:r>
        <w:rPr>
          <w:rFonts w:hint="eastAsia" w:ascii="宋体" w:hAnsi="宋体" w:eastAsia="宋体" w:cs="宋体"/>
          <w:b/>
          <w:color w:val="000000"/>
          <w:kern w:val="0"/>
          <w:sz w:val="32"/>
          <w:szCs w:val="32"/>
        </w:rPr>
        <w:t>八、奖项管理</w:t>
      </w:r>
    </w:p>
    <w:p>
      <w:pPr>
        <w:widowControl/>
        <w:spacing w:line="44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（一）南海文艺奖由省文联及专业协会联合表彰并颁奖。获南海文艺奖的所有奖项，均可作为业绩考核和人才评价的重要依据。</w:t>
      </w:r>
    </w:p>
    <w:p>
      <w:pPr>
        <w:widowControl/>
        <w:spacing w:line="44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（二）参评作品获奖后，相关资料收入海南省南海文艺奖档案库，由省评审委员会办公室负责存档管理。</w:t>
      </w:r>
    </w:p>
    <w:p>
      <w:pPr>
        <w:widowControl/>
        <w:spacing w:line="44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（三）本细则由海南省南海文艺奖评审委员会办公室负责解释。</w:t>
      </w:r>
    </w:p>
    <w:p>
      <w:pPr>
        <w:widowControl/>
        <w:spacing w:line="440" w:lineRule="exact"/>
        <w:ind w:firstLine="643" w:firstLineChars="200"/>
        <w:rPr>
          <w:rFonts w:ascii="黑体" w:hAnsi="黑体" w:eastAsia="黑体" w:cs="宋体"/>
          <w:b/>
          <w:color w:val="000000"/>
          <w:kern w:val="0"/>
          <w:sz w:val="32"/>
          <w:szCs w:val="32"/>
        </w:rPr>
      </w:pPr>
      <w:r>
        <w:rPr>
          <w:rFonts w:hint="eastAsia" w:ascii="黑体" w:hAnsi="黑体" w:eastAsia="黑体" w:cs="宋体"/>
          <w:b/>
          <w:color w:val="000000"/>
          <w:kern w:val="0"/>
          <w:sz w:val="32"/>
          <w:szCs w:val="32"/>
        </w:rPr>
        <w:t>九、申报作品报送地址及联系方式</w:t>
      </w:r>
    </w:p>
    <w:p>
      <w:pPr>
        <w:widowControl/>
        <w:spacing w:line="44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报送地址：海口市美兰区</w:t>
      </w:r>
      <w:r>
        <w:rPr>
          <w:rFonts w:hint="eastAsia" w:ascii="仿宋" w:hAnsi="仿宋" w:eastAsia="仿宋" w:cs="仿宋"/>
          <w:color w:val="000000"/>
          <w:kern w:val="0"/>
          <w:sz w:val="32"/>
          <w:szCs w:val="32"/>
          <w:lang w:val="en-US" w:eastAsia="zh-CN"/>
        </w:rPr>
        <w:t>国兴大道68号海南省文学艺术界联合会音乐家之家</w:t>
      </w:r>
      <w:r>
        <w:rPr>
          <w:rFonts w:hint="eastAsia" w:ascii="仿宋" w:hAnsi="仿宋" w:eastAsia="仿宋" w:cs="仿宋"/>
          <w:color w:val="000000"/>
          <w:kern w:val="0"/>
          <w:sz w:val="32"/>
          <w:szCs w:val="32"/>
        </w:rPr>
        <w:t xml:space="preserve">  邮编：570203</w:t>
      </w:r>
    </w:p>
    <w:p>
      <w:pPr>
        <w:widowControl/>
        <w:spacing w:line="44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联系人：邓杰，联系电话：0898-65342790，13707514537</w:t>
      </w:r>
    </w:p>
    <w:p>
      <w:pPr>
        <w:widowControl/>
        <w:spacing w:line="440" w:lineRule="exact"/>
        <w:ind w:firstLine="640" w:firstLineChars="200"/>
        <w:rPr>
          <w:rFonts w:ascii="仿宋" w:hAnsi="仿宋" w:eastAsia="仿宋" w:cs="仿宋"/>
          <w:color w:val="333333"/>
          <w:sz w:val="32"/>
          <w:szCs w:val="32"/>
        </w:rPr>
      </w:pPr>
    </w:p>
    <w:p>
      <w:pPr>
        <w:widowControl/>
        <w:spacing w:line="440" w:lineRule="exact"/>
        <w:ind w:firstLine="640" w:firstLineChars="200"/>
        <w:rPr>
          <w:rFonts w:ascii="仿宋" w:hAnsi="仿宋" w:eastAsia="仿宋" w:cs="仿宋"/>
          <w:color w:val="333333"/>
          <w:sz w:val="32"/>
          <w:szCs w:val="32"/>
        </w:rPr>
      </w:pPr>
    </w:p>
    <w:p>
      <w:pPr>
        <w:widowControl/>
        <w:shd w:val="clear" w:color="auto" w:fill="FFFFFF"/>
        <w:spacing w:line="440" w:lineRule="exact"/>
        <w:jc w:val="left"/>
        <w:rPr>
          <w:rFonts w:ascii="仿宋" w:hAnsi="仿宋" w:eastAsia="仿宋" w:cs="仿宋"/>
          <w:bCs/>
          <w:color w:val="333333"/>
          <w:spacing w:val="8"/>
          <w:kern w:val="0"/>
          <w:sz w:val="32"/>
          <w:szCs w:val="32"/>
        </w:rPr>
      </w:pPr>
      <w:r>
        <w:rPr>
          <w:rFonts w:hint="eastAsia" w:ascii="仿宋" w:hAnsi="仿宋" w:eastAsia="仿宋" w:cs="仿宋"/>
          <w:bCs/>
          <w:color w:val="000000"/>
          <w:spacing w:val="8"/>
          <w:kern w:val="0"/>
          <w:sz w:val="32"/>
          <w:szCs w:val="32"/>
          <w:shd w:val="clear" w:color="auto" w:fill="FFFFFF"/>
        </w:rPr>
        <w:t>海南省文学</w:t>
      </w:r>
      <w:r>
        <w:rPr>
          <w:rFonts w:ascii="仿宋" w:hAnsi="仿宋" w:eastAsia="仿宋" w:cs="仿宋"/>
          <w:bCs/>
          <w:color w:val="000000"/>
          <w:spacing w:val="8"/>
          <w:kern w:val="0"/>
          <w:sz w:val="32"/>
          <w:szCs w:val="32"/>
          <w:shd w:val="clear" w:color="auto" w:fill="FFFFFF"/>
        </w:rPr>
        <w:t>艺术界联合会第四届</w:t>
      </w:r>
      <w:r>
        <w:rPr>
          <w:rFonts w:hint="eastAsia" w:ascii="仿宋" w:hAnsi="仿宋" w:eastAsia="仿宋" w:cs="仿宋"/>
          <w:bCs/>
          <w:color w:val="000000"/>
          <w:spacing w:val="8"/>
          <w:kern w:val="0"/>
          <w:sz w:val="32"/>
          <w:szCs w:val="32"/>
          <w:shd w:val="clear" w:color="auto" w:fill="FFFFFF"/>
        </w:rPr>
        <w:t>南海文艺奖评审办公室</w:t>
      </w:r>
    </w:p>
    <w:p>
      <w:pPr>
        <w:widowControl/>
        <w:shd w:val="clear" w:color="auto" w:fill="FFFFFF"/>
        <w:spacing w:line="440" w:lineRule="exact"/>
        <w:ind w:firstLine="3864" w:firstLineChars="1150"/>
        <w:jc w:val="left"/>
        <w:rPr>
          <w:rFonts w:ascii="仿宋" w:hAnsi="仿宋" w:eastAsia="仿宋" w:cs="仿宋"/>
          <w:bCs/>
          <w:color w:val="333333"/>
          <w:spacing w:val="8"/>
          <w:kern w:val="0"/>
          <w:sz w:val="32"/>
          <w:szCs w:val="32"/>
        </w:rPr>
      </w:pPr>
      <w:r>
        <w:rPr>
          <w:rFonts w:hint="eastAsia" w:ascii="仿宋" w:hAnsi="仿宋" w:eastAsia="仿宋" w:cs="仿宋"/>
          <w:bCs/>
          <w:color w:val="000000"/>
          <w:spacing w:val="8"/>
          <w:kern w:val="0"/>
          <w:sz w:val="32"/>
          <w:szCs w:val="32"/>
          <w:shd w:val="clear" w:color="auto" w:fill="FFFFFF"/>
        </w:rPr>
        <w:t>海南省音乐家协会</w:t>
      </w:r>
    </w:p>
    <w:p>
      <w:pPr>
        <w:widowControl/>
        <w:shd w:val="clear" w:color="auto" w:fill="FFFFFF"/>
        <w:spacing w:line="440" w:lineRule="exact"/>
        <w:ind w:firstLine="3864" w:firstLineChars="1150"/>
        <w:jc w:val="left"/>
        <w:rPr>
          <w:rFonts w:ascii="仿宋" w:hAnsi="仿宋" w:eastAsia="仿宋" w:cs="仿宋"/>
          <w:kern w:val="0"/>
          <w:sz w:val="32"/>
          <w:szCs w:val="32"/>
        </w:rPr>
      </w:pPr>
      <w:r>
        <w:rPr>
          <w:rFonts w:hint="eastAsia" w:ascii="仿宋" w:hAnsi="仿宋" w:eastAsia="仿宋" w:cs="仿宋"/>
          <w:bCs/>
          <w:color w:val="000000"/>
          <w:spacing w:val="8"/>
          <w:kern w:val="0"/>
          <w:sz w:val="32"/>
          <w:szCs w:val="32"/>
          <w:shd w:val="clear" w:color="auto" w:fill="FFFFFF"/>
        </w:rPr>
        <w:t>202</w:t>
      </w:r>
      <w:r>
        <w:rPr>
          <w:rFonts w:hint="eastAsia" w:ascii="仿宋" w:hAnsi="仿宋" w:eastAsia="仿宋" w:cs="仿宋"/>
          <w:bCs/>
          <w:color w:val="000000"/>
          <w:spacing w:val="8"/>
          <w:kern w:val="0"/>
          <w:sz w:val="32"/>
          <w:szCs w:val="32"/>
          <w:shd w:val="clear" w:color="auto" w:fill="FFFFFF"/>
          <w:lang w:val="en-US" w:eastAsia="zh-CN"/>
        </w:rPr>
        <w:t>3</w:t>
      </w:r>
      <w:r>
        <w:rPr>
          <w:rFonts w:hint="eastAsia" w:ascii="仿宋" w:hAnsi="仿宋" w:eastAsia="仿宋" w:cs="仿宋"/>
          <w:bCs/>
          <w:color w:val="000000"/>
          <w:spacing w:val="8"/>
          <w:kern w:val="0"/>
          <w:sz w:val="32"/>
          <w:szCs w:val="32"/>
          <w:shd w:val="clear" w:color="auto" w:fill="FFFFFF"/>
        </w:rPr>
        <w:t>年</w:t>
      </w:r>
      <w:r>
        <w:rPr>
          <w:rFonts w:hint="eastAsia" w:ascii="仿宋" w:hAnsi="仿宋" w:eastAsia="仿宋" w:cs="仿宋"/>
          <w:bCs/>
          <w:color w:val="000000"/>
          <w:spacing w:val="8"/>
          <w:kern w:val="0"/>
          <w:sz w:val="32"/>
          <w:szCs w:val="32"/>
          <w:shd w:val="clear" w:color="auto" w:fill="FFFFFF"/>
          <w:lang w:val="en-US" w:eastAsia="zh-CN"/>
        </w:rPr>
        <w:t>7</w:t>
      </w:r>
      <w:r>
        <w:rPr>
          <w:rFonts w:hint="eastAsia" w:ascii="仿宋" w:hAnsi="仿宋" w:eastAsia="仿宋" w:cs="仿宋"/>
          <w:bCs/>
          <w:color w:val="000000"/>
          <w:spacing w:val="8"/>
          <w:kern w:val="0"/>
          <w:sz w:val="32"/>
          <w:szCs w:val="32"/>
          <w:shd w:val="clear" w:color="auto" w:fill="FFFFFF"/>
        </w:rPr>
        <w:t>月</w:t>
      </w:r>
      <w:r>
        <w:rPr>
          <w:rFonts w:hint="eastAsia" w:ascii="仿宋" w:hAnsi="仿宋" w:eastAsia="仿宋" w:cs="仿宋"/>
          <w:bCs/>
          <w:color w:val="000000"/>
          <w:spacing w:val="8"/>
          <w:kern w:val="0"/>
          <w:sz w:val="32"/>
          <w:szCs w:val="32"/>
          <w:shd w:val="clear" w:color="auto" w:fill="FFFFFF"/>
          <w:lang w:val="en-US" w:eastAsia="zh-CN"/>
        </w:rPr>
        <w:t>5</w:t>
      </w:r>
      <w:r>
        <w:rPr>
          <w:rFonts w:hint="eastAsia" w:ascii="仿宋" w:hAnsi="仿宋" w:eastAsia="仿宋" w:cs="仿宋"/>
          <w:bCs/>
          <w:color w:val="000000"/>
          <w:spacing w:val="8"/>
          <w:kern w:val="0"/>
          <w:sz w:val="32"/>
          <w:szCs w:val="32"/>
          <w:shd w:val="clear" w:color="auto" w:fill="FFFFFF"/>
        </w:rPr>
        <w:t>日</w:t>
      </w:r>
    </w:p>
    <w:p>
      <w:pPr>
        <w:spacing w:line="460" w:lineRule="exact"/>
        <w:rPr>
          <w:rFonts w:ascii="仿宋_GB2312" w:hAnsi="仿宋_GB2312" w:eastAsia="宋体" w:cs="仿宋_GB2312"/>
          <w:kern w:val="10"/>
          <w:sz w:val="32"/>
          <w:szCs w:val="32"/>
        </w:rPr>
      </w:pPr>
    </w:p>
    <w:sectPr>
      <w:footerReference r:id="rId3" w:type="default"/>
      <w:footerReference r:id="rId4" w:type="even"/>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A2EDC68-97D7-468E-88C3-422BF7A4A2C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452C160B-93F7-447B-B765-9A861816B4E3}"/>
  </w:font>
  <w:font w:name="Microsoft YaHei UI">
    <w:panose1 w:val="020B0503020204020204"/>
    <w:charset w:val="86"/>
    <w:family w:val="auto"/>
    <w:pitch w:val="default"/>
    <w:sig w:usb0="80000287" w:usb1="2ACF3C50" w:usb2="00000016" w:usb3="00000000" w:csb0="0004001F" w:csb1="00000000"/>
    <w:embedRegular r:id="rId3" w:fontKey="{57947BB5-CA69-41B1-98AD-17A6203D797C}"/>
  </w:font>
  <w:font w:name="仿宋">
    <w:panose1 w:val="02010609060101010101"/>
    <w:charset w:val="86"/>
    <w:family w:val="auto"/>
    <w:pitch w:val="default"/>
    <w:sig w:usb0="800002BF" w:usb1="38CF7CFA" w:usb2="00000016" w:usb3="00000000" w:csb0="00040001" w:csb1="00000000"/>
    <w:embedRegular r:id="rId4" w:fontKey="{32EF9512-434D-4210-B652-427D9EE4AFF3}"/>
  </w:font>
  <w:font w:name="楷体">
    <w:panose1 w:val="02010609060101010101"/>
    <w:charset w:val="86"/>
    <w:family w:val="auto"/>
    <w:pitch w:val="default"/>
    <w:sig w:usb0="800002BF" w:usb1="38CF7CFA" w:usb2="00000016" w:usb3="00000000" w:csb0="00040001" w:csb1="00000000"/>
    <w:embedRegular r:id="rId5" w:fontKey="{BC4A361E-BBFC-4FBF-9AFA-54B77F3290A1}"/>
  </w:font>
  <w:font w:name="仿宋_GB2312">
    <w:altName w:val="仿宋"/>
    <w:panose1 w:val="02010609030101010101"/>
    <w:charset w:val="86"/>
    <w:family w:val="auto"/>
    <w:pitch w:val="default"/>
    <w:sig w:usb0="00000000" w:usb1="00000000" w:usb2="00000000" w:usb3="00000000" w:csb0="00040000" w:csb1="00000000"/>
    <w:embedRegular r:id="rId6" w:fontKey="{2F2E715D-1C7E-48AF-AD48-5FD8D861264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fldChar w:fldCharType="begin"/>
    </w:r>
    <w:r>
      <w:instrText xml:space="preserve">PAGE   \* MERGEFORMAT</w:instrText>
    </w:r>
    <w:r>
      <w:fldChar w:fldCharType="separate"/>
    </w:r>
    <w:r>
      <w:rPr>
        <w:rFonts w:ascii="宋体" w:hAnsi="宋体"/>
        <w:sz w:val="28"/>
        <w:szCs w:val="28"/>
        <w:lang w:val="zh-CN"/>
      </w:rPr>
      <w:t>-</w:t>
    </w:r>
    <w:r>
      <w:rPr>
        <w:rFonts w:ascii="宋体" w:hAnsi="宋体"/>
        <w:sz w:val="28"/>
        <w:szCs w:val="28"/>
      </w:rPr>
      <w:t xml:space="preserve"> 75 -</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74 -</w:t>
    </w:r>
    <w:r>
      <w:rPr>
        <w:rFonts w:ascii="宋体" w:hAnsi="宋体"/>
        <w:sz w:val="28"/>
        <w:szCs w:val="28"/>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575BBC"/>
    <w:multiLevelType w:val="singleLevel"/>
    <w:tmpl w:val="E2575BBC"/>
    <w:lvl w:ilvl="0" w:tentative="0">
      <w:start w:val="5"/>
      <w:numFmt w:val="chineseCounting"/>
      <w:suff w:val="nothing"/>
      <w:lvlText w:val="%1、"/>
      <w:lvlJc w:val="left"/>
      <w:rPr>
        <w:rFonts w:hint="eastAsia"/>
      </w:rPr>
    </w:lvl>
  </w:abstractNum>
  <w:abstractNum w:abstractNumId="1">
    <w:nsid w:val="6CB6B2F7"/>
    <w:multiLevelType w:val="singleLevel"/>
    <w:tmpl w:val="6CB6B2F7"/>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NGYwNGQ5MzczMDE5MWY3NDcxN2U5OGUzNTM1YjAwYTcifQ=="/>
  </w:docVars>
  <w:rsids>
    <w:rsidRoot w:val="00000000"/>
    <w:rsid w:val="557968DC"/>
    <w:rsid w:val="6878788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99"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99"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黑体"/>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9"/>
    <w:semiHidden/>
    <w:unhideWhenUsed/>
    <w:uiPriority w:val="99"/>
    <w:pPr>
      <w:jc w:val="left"/>
    </w:pPr>
    <w:rPr>
      <w:rFonts w:ascii="Times New Roman" w:hAnsi="Times New Roman" w:eastAsia="宋体" w:cs="Times New Roman"/>
      <w:szCs w:val="24"/>
    </w:rPr>
  </w:style>
  <w:style w:type="paragraph" w:styleId="3">
    <w:name w:val="Balloon Text"/>
    <w:basedOn w:val="1"/>
    <w:link w:val="18"/>
    <w:semiHidden/>
    <w:unhideWhenUsed/>
    <w:uiPriority w:val="99"/>
    <w:rPr>
      <w:rFonts w:ascii="Times New Roman" w:hAnsi="Times New Roman" w:eastAsia="宋体" w:cs="Times New Roman"/>
      <w:sz w:val="18"/>
      <w:szCs w:val="18"/>
    </w:rPr>
  </w:style>
  <w:style w:type="paragraph" w:styleId="4">
    <w:name w:val="footer"/>
    <w:basedOn w:val="1"/>
    <w:link w:val="17"/>
    <w:unhideWhenUsed/>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5">
    <w:name w:val="header"/>
    <w:basedOn w:val="1"/>
    <w:link w:val="16"/>
    <w:unhideWhenUsed/>
    <w:uiPriority w:val="99"/>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6">
    <w:name w:val="Normal (Web)"/>
    <w:basedOn w:val="1"/>
    <w:uiPriority w:val="0"/>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20"/>
    <w:semiHidden/>
    <w:unhideWhenUsed/>
    <w:uiPriority w:val="99"/>
    <w:rPr>
      <w:b/>
      <w:bCs/>
    </w:rPr>
  </w:style>
  <w:style w:type="character" w:styleId="10">
    <w:name w:val="Hyperlink"/>
    <w:basedOn w:val="9"/>
    <w:uiPriority w:val="0"/>
    <w:rPr>
      <w:color w:val="0563C1"/>
      <w:u w:val="single"/>
    </w:rPr>
  </w:style>
  <w:style w:type="character" w:styleId="11">
    <w:name w:val="annotation reference"/>
    <w:basedOn w:val="9"/>
    <w:semiHidden/>
    <w:unhideWhenUsed/>
    <w:uiPriority w:val="99"/>
    <w:rPr>
      <w:sz w:val="21"/>
      <w:szCs w:val="21"/>
    </w:rPr>
  </w:style>
  <w:style w:type="paragraph" w:customStyle="1" w:styleId="12">
    <w:name w:val="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3">
    <w:name w:val="List Paragraph"/>
    <w:basedOn w:val="1"/>
    <w:qFormat/>
    <w:uiPriority w:val="34"/>
    <w:pPr>
      <w:ind w:firstLine="420" w:firstLineChars="200"/>
    </w:pPr>
    <w:rPr>
      <w:rFonts w:ascii="Times New Roman" w:hAnsi="Times New Roman" w:eastAsia="宋体" w:cs="Times New Roman"/>
      <w:szCs w:val="24"/>
    </w:rPr>
  </w:style>
  <w:style w:type="paragraph" w:customStyle="1" w:styleId="14">
    <w:name w:val="_Style 4"/>
    <w:basedOn w:val="1"/>
    <w:uiPriority w:val="0"/>
    <w:pPr>
      <w:widowControl/>
      <w:spacing w:after="160" w:line="240" w:lineRule="exact"/>
      <w:jc w:val="left"/>
    </w:pPr>
    <w:rPr>
      <w:rFonts w:ascii="Times New Roman" w:hAnsi="Times New Roman" w:eastAsia="宋体" w:cs="Times New Roman"/>
      <w:szCs w:val="24"/>
    </w:rPr>
  </w:style>
  <w:style w:type="paragraph" w:customStyle="1" w:styleId="15">
    <w:name w:val="Revision"/>
    <w:hidden/>
    <w:semiHidden/>
    <w:uiPriority w:val="99"/>
    <w:rPr>
      <w:rFonts w:ascii="Times New Roman" w:hAnsi="Times New Roman" w:eastAsia="宋体" w:cs="Times New Roman"/>
      <w:szCs w:val="24"/>
      <w:lang w:val="en-US" w:eastAsia="zh-CN" w:bidi="ar-SA"/>
    </w:rPr>
  </w:style>
  <w:style w:type="character" w:customStyle="1" w:styleId="16">
    <w:name w:val="页眉 字符"/>
    <w:basedOn w:val="9"/>
    <w:link w:val="5"/>
    <w:uiPriority w:val="99"/>
    <w:rPr>
      <w:rFonts w:ascii="Times New Roman" w:hAnsi="Times New Roman" w:eastAsia="宋体" w:cs="Times New Roman"/>
      <w:sz w:val="18"/>
      <w:szCs w:val="18"/>
    </w:rPr>
  </w:style>
  <w:style w:type="character" w:customStyle="1" w:styleId="17">
    <w:name w:val="页脚 字符"/>
    <w:basedOn w:val="9"/>
    <w:link w:val="4"/>
    <w:uiPriority w:val="99"/>
    <w:rPr>
      <w:rFonts w:ascii="Times New Roman" w:hAnsi="Times New Roman" w:eastAsia="宋体" w:cs="Times New Roman"/>
      <w:sz w:val="18"/>
      <w:szCs w:val="18"/>
    </w:rPr>
  </w:style>
  <w:style w:type="character" w:customStyle="1" w:styleId="18">
    <w:name w:val="批注框文本 字符"/>
    <w:basedOn w:val="9"/>
    <w:link w:val="3"/>
    <w:semiHidden/>
    <w:uiPriority w:val="99"/>
    <w:rPr>
      <w:rFonts w:ascii="Times New Roman" w:hAnsi="Times New Roman" w:eastAsia="宋体" w:cs="Times New Roman"/>
      <w:sz w:val="18"/>
      <w:szCs w:val="18"/>
    </w:rPr>
  </w:style>
  <w:style w:type="character" w:customStyle="1" w:styleId="19">
    <w:name w:val="批注文字 字符"/>
    <w:basedOn w:val="9"/>
    <w:link w:val="2"/>
    <w:semiHidden/>
    <w:uiPriority w:val="99"/>
    <w:rPr>
      <w:rFonts w:ascii="Times New Roman" w:hAnsi="Times New Roman" w:eastAsia="宋体" w:cs="Times New Roman"/>
      <w:szCs w:val="24"/>
    </w:rPr>
  </w:style>
  <w:style w:type="character" w:customStyle="1" w:styleId="20">
    <w:name w:val="批注主题 字符"/>
    <w:basedOn w:val="19"/>
    <w:link w:val="7"/>
    <w:semiHidden/>
    <w:uiPriority w:val="99"/>
    <w:rPr>
      <w:rFonts w:ascii="Times New Roman" w:hAnsi="Times New Roman" w:eastAsia="宋体" w:cs="Times New Roman"/>
      <w:b/>
      <w:bCs/>
      <w:szCs w:val="24"/>
    </w:rPr>
  </w:style>
  <w:style w:type="character" w:customStyle="1" w:styleId="21">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2247</Words>
  <Characters>2313</Characters>
  <Lines>301</Lines>
  <Paragraphs>84</Paragraphs>
  <TotalTime>11</TotalTime>
  <ScaleCrop>false</ScaleCrop>
  <LinksUpToDate>false</LinksUpToDate>
  <CharactersWithSpaces>2325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2021-08-27T13:57:00Z</dcterms:created>
  <dc:creator>修订者</dc:creator>
  <cp:lastModifiedBy>尤他</cp:lastModifiedBy>
  <cp:lastPrinted>2021-09-16T17:48:00Z</cp:lastPrinted>
  <dcterms:modified xsi:type="dcterms:W3CDTF">2023-08-21T08:28:12Z</dcterms:modified>
  <dc:title>附件2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D68B8AB65F144894BBED80A375A47775_12</vt:lpwstr>
  </property>
</Properties>
</file>