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er+xml" PartName="/word/footer2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4" Type="http://schemas.openxmlformats.org/officeDocument/2006/relationships/officeDocument" Target="word/document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spacing w:line="560" w:lineRule="exact"/>
        <w:jc w:val="left"/>
        <w:rPr>
          <w:rFonts w:ascii="黑体" w:hAnsi="黑体" w:eastAsia="黑体" w:cs="宋体"/>
          <w:bCs/>
          <w:color w:val="000000"/>
          <w:sz w:val="32"/>
          <w:szCs w:val="32"/>
        </w:rPr>
      </w:pPr>
      <w:r>
        <w:rPr>
          <w:rFonts w:hint="eastAsia" w:ascii="黑体" w:hAnsi="黑体" w:eastAsia="黑体" w:cs="宋体"/>
          <w:bCs/>
          <w:color w:val="000000"/>
          <w:sz w:val="32"/>
          <w:szCs w:val="32"/>
        </w:rPr>
        <w:t>附件2</w:t>
      </w:r>
    </w:p>
    <w:p>
      <w:pPr>
        <w:spacing w:line="560" w:lineRule="exact"/>
        <w:jc w:val="center"/>
        <w:rPr>
          <w:rFonts w:ascii="方正小标宋简体" w:hAnsi="宋体" w:eastAsia="方正小标宋简体" w:cs="宋体"/>
          <w:b/>
          <w:bCs/>
          <w:color w:val="000000"/>
          <w:sz w:val="44"/>
          <w:szCs w:val="44"/>
        </w:rPr>
      </w:pPr>
      <w:bookmarkStart w:id="0" w:name="_GoBack"/>
      <w:r>
        <w:rPr>
          <w:rFonts w:hint="eastAsia" w:ascii="方正小标宋简体" w:hAnsi="宋体" w:eastAsia="方正小标宋简体" w:cs="宋体"/>
          <w:b/>
          <w:bCs/>
          <w:color w:val="000000"/>
          <w:sz w:val="44"/>
          <w:szCs w:val="44"/>
        </w:rPr>
        <w:t>第四届海南省南海文艺奖文学作品类</w:t>
      </w:r>
    </w:p>
    <w:p>
      <w:pPr>
        <w:spacing w:line="560" w:lineRule="exact"/>
        <w:jc w:val="center"/>
        <w:rPr>
          <w:rFonts w:ascii="方正小标宋简体" w:hAnsi="宋体" w:eastAsia="方正小标宋简体" w:cs="宋体"/>
          <w:b/>
          <w:bCs/>
          <w:color w:val="000000"/>
          <w:sz w:val="44"/>
          <w:szCs w:val="44"/>
        </w:rPr>
      </w:pPr>
      <w:r>
        <w:rPr>
          <w:rFonts w:hint="eastAsia" w:ascii="方正小标宋简体" w:hAnsi="宋体" w:eastAsia="方正小标宋简体" w:cs="宋体"/>
          <w:b/>
          <w:bCs/>
          <w:color w:val="000000"/>
          <w:sz w:val="44"/>
          <w:szCs w:val="44"/>
        </w:rPr>
        <w:t>评选细则</w:t>
      </w:r>
    </w:p>
    <w:bookmarkEnd w:id="0"/>
    <w:p>
      <w:pPr>
        <w:spacing w:line="560" w:lineRule="exact"/>
        <w:jc w:val="center"/>
        <w:rPr>
          <w:rFonts w:ascii="方正小标宋简体" w:hAnsi="宋体" w:eastAsia="方正小标宋简体" w:cs="宋体"/>
          <w:color w:val="000000"/>
          <w:sz w:val="44"/>
          <w:szCs w:val="44"/>
        </w:rPr>
      </w:pPr>
    </w:p>
    <w:p>
      <w:pPr>
        <w:autoSpaceDE w:val="0"/>
        <w:autoSpaceDN w:val="0"/>
        <w:spacing w:line="460" w:lineRule="exact"/>
        <w:ind w:right="-177" w:firstLine="627"/>
        <w:rPr>
          <w:rFonts w:ascii="仿宋_GB2312" w:hAnsi="宋体" w:eastAsia="仿宋_GB2312" w:cs="Times New Roman"/>
          <w:sz w:val="32"/>
          <w:szCs w:val="32"/>
          <w:lang w:val="zh-CN"/>
        </w:rPr>
      </w:pPr>
      <w:r>
        <w:rPr>
          <w:rFonts w:hint="eastAsia" w:ascii="仿宋_GB2312" w:hAnsi="宋体" w:eastAsia="仿宋_GB2312" w:cs="仿宋_GB2312"/>
          <w:sz w:val="32"/>
          <w:szCs w:val="32"/>
          <w:lang w:val="zh-CN"/>
        </w:rPr>
        <w:t>根据《海南省南海文艺奖章程》规定，按照《第四届海南省南海文艺奖评奖实施方案》的要求，制定本细则。</w:t>
      </w:r>
    </w:p>
    <w:p>
      <w:pPr>
        <w:spacing w:line="460" w:lineRule="exact"/>
        <w:ind w:firstLine="643" w:firstLineChars="200"/>
        <w:jc w:val="left"/>
        <w:rPr>
          <w:rFonts w:ascii="黑体" w:hAnsi="黑体" w:eastAsia="黑体" w:cs="仿宋"/>
          <w:color w:val="000000"/>
          <w:sz w:val="32"/>
          <w:szCs w:val="32"/>
        </w:rPr>
      </w:pPr>
      <w:r>
        <w:rPr>
          <w:rFonts w:hint="eastAsia" w:ascii="黑体" w:hAnsi="黑体" w:eastAsia="黑体" w:cs="仿宋"/>
          <w:b/>
          <w:bCs/>
          <w:color w:val="000000"/>
          <w:sz w:val="32"/>
          <w:szCs w:val="32"/>
        </w:rPr>
        <w:t>一、评奖年限和奖项设置</w:t>
      </w:r>
    </w:p>
    <w:p>
      <w:pPr>
        <w:widowControl/>
        <w:spacing w:line="460" w:lineRule="exact"/>
        <w:ind w:firstLine="640" w:firstLineChars="200"/>
        <w:jc w:val="lef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（一）第四届海南省南海文艺奖文学作品类评奖年限为2019年1月1日至2020年12月31日。</w:t>
      </w:r>
    </w:p>
    <w:p>
      <w:pPr>
        <w:spacing w:line="460" w:lineRule="exact"/>
        <w:ind w:firstLine="480" w:firstLineChars="150"/>
        <w:jc w:val="lef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（二）南海文艺奖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·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文学奖设作品奖6部，分别奖励前六名，获奖者各奖励1万元</w:t>
      </w:r>
      <w:r>
        <w:rPr>
          <w:rFonts w:ascii="仿宋" w:hAnsi="仿宋" w:eastAsia="仿宋" w:cs="仿宋"/>
          <w:color w:val="000000"/>
          <w:sz w:val="32"/>
          <w:szCs w:val="32"/>
        </w:rPr>
        <w:t>（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税后</w:t>
      </w:r>
      <w:r>
        <w:rPr>
          <w:rFonts w:ascii="仿宋" w:hAnsi="仿宋" w:eastAsia="仿宋" w:cs="仿宋"/>
          <w:color w:val="000000"/>
          <w:sz w:val="32"/>
          <w:szCs w:val="32"/>
        </w:rPr>
        <w:t>）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，</w:t>
      </w:r>
      <w:r>
        <w:rPr>
          <w:rFonts w:ascii="仿宋" w:hAnsi="仿宋" w:eastAsia="仿宋" w:cs="仿宋"/>
          <w:color w:val="000000"/>
          <w:sz w:val="32"/>
          <w:szCs w:val="32"/>
        </w:rPr>
        <w:t>奖金共计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6万元，获奖</w:t>
      </w:r>
      <w:r>
        <w:rPr>
          <w:rFonts w:ascii="仿宋" w:hAnsi="仿宋" w:eastAsia="仿宋" w:cs="仿宋"/>
          <w:color w:val="000000"/>
          <w:sz w:val="32"/>
          <w:szCs w:val="32"/>
        </w:rPr>
        <w:t>作品数额出现空缺，奖金按照空缺数扣减。</w:t>
      </w:r>
    </w:p>
    <w:p>
      <w:pPr>
        <w:spacing w:line="460" w:lineRule="exact"/>
        <w:ind w:firstLine="640" w:firstLineChars="200"/>
        <w:jc w:val="lef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文学类推荐参评终身成就奖候选人建议人选1名。</w:t>
      </w:r>
    </w:p>
    <w:p>
      <w:pPr>
        <w:spacing w:line="460" w:lineRule="exact"/>
        <w:ind w:firstLine="640" w:firstLineChars="200"/>
        <w:jc w:val="lef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由海南省文联对获奖者颁发证书和奖金。</w:t>
      </w:r>
    </w:p>
    <w:p>
      <w:pPr>
        <w:spacing w:line="460" w:lineRule="exact"/>
        <w:ind w:firstLine="643" w:firstLineChars="200"/>
        <w:jc w:val="left"/>
        <w:rPr>
          <w:rFonts w:ascii="黑体" w:hAnsi="黑体" w:eastAsia="黑体" w:cs="仿宋"/>
          <w:b/>
          <w:bCs/>
          <w:color w:val="000000"/>
          <w:sz w:val="32"/>
          <w:szCs w:val="32"/>
        </w:rPr>
      </w:pPr>
      <w:r>
        <w:rPr>
          <w:rFonts w:hint="eastAsia" w:ascii="黑体" w:hAnsi="黑体" w:eastAsia="黑体" w:cs="仿宋"/>
          <w:b/>
          <w:bCs/>
          <w:color w:val="000000"/>
          <w:sz w:val="32"/>
          <w:szCs w:val="32"/>
        </w:rPr>
        <w:t>二、评奖条件和范围</w:t>
      </w:r>
    </w:p>
    <w:p>
      <w:pPr>
        <w:widowControl/>
        <w:spacing w:line="460" w:lineRule="exact"/>
        <w:ind w:firstLine="640" w:firstLineChars="200"/>
        <w:jc w:val="lef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（一）评奖面</w:t>
      </w:r>
      <w:r>
        <w:rPr>
          <w:rFonts w:hint="eastAsia" w:ascii="仿宋" w:hAnsi="仿宋" w:eastAsia="仿宋" w:cs="仿宋"/>
          <w:sz w:val="32"/>
          <w:szCs w:val="32"/>
        </w:rPr>
        <w:t>向国内外的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作家和文艺生产单位，参评</w:t>
      </w:r>
      <w:r>
        <w:rPr>
          <w:rFonts w:ascii="仿宋" w:hAnsi="仿宋" w:eastAsia="仿宋" w:cs="仿宋"/>
          <w:color w:val="000000"/>
          <w:sz w:val="32"/>
          <w:szCs w:val="32"/>
        </w:rPr>
        <w:t>者户籍、地域、国籍不受限制，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独立或以第一作者创作、推出的符合海南题材的各类优秀文学作品，均可以作者个人或集体名义申报评奖。参评作者年龄不限。</w:t>
      </w:r>
    </w:p>
    <w:p>
      <w:pPr>
        <w:widowControl/>
        <w:spacing w:line="460" w:lineRule="exact"/>
        <w:ind w:firstLine="640" w:firstLineChars="200"/>
        <w:jc w:val="lef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（二）参评的专著须为正式出版的文学作品（指有ISBN</w:t>
      </w:r>
      <w:r>
        <w:rPr>
          <w:rFonts w:ascii="Calibri" w:hAnsi="Calibri" w:eastAsia="仿宋" w:cs="Calibri"/>
          <w:color w:val="000000"/>
          <w:sz w:val="32"/>
          <w:szCs w:val="32"/>
        </w:rPr>
        <w:t> 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书号和图书在版编目数据，可经中国版本图书馆数据核查），或省级以上（含省级）文学期刊公开、独立发表的</w:t>
      </w: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/>
        </w:rPr>
        <w:t>文学作品，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包括长、中、短篇小说，散文，诗歌，非虚构作品等均可参评。</w:t>
      </w:r>
    </w:p>
    <w:p>
      <w:pPr>
        <w:spacing w:line="460" w:lineRule="exact"/>
        <w:jc w:val="lef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 xml:space="preserve">   （三）已经获得国家级以上奖励的作品不再参评本奖。</w:t>
      </w:r>
    </w:p>
    <w:p>
      <w:pPr>
        <w:spacing w:line="460" w:lineRule="exact"/>
        <w:jc w:val="lef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 xml:space="preserve">   （四）在职副厅级以上领导干部，具体组织评选工作单位的主要负责人的作品不参加评选，但参与组织策划的集体创作的作品可参加。</w:t>
      </w:r>
    </w:p>
    <w:p>
      <w:pPr>
        <w:spacing w:line="460" w:lineRule="exact"/>
        <w:ind w:firstLine="643" w:firstLineChars="200"/>
        <w:jc w:val="left"/>
        <w:rPr>
          <w:rFonts w:ascii="黑体" w:hAnsi="黑体" w:eastAsia="黑体" w:cs="仿宋"/>
          <w:b/>
          <w:bCs/>
          <w:color w:val="000000"/>
          <w:sz w:val="32"/>
          <w:szCs w:val="32"/>
        </w:rPr>
      </w:pPr>
      <w:r>
        <w:rPr>
          <w:rFonts w:hint="eastAsia" w:ascii="黑体" w:hAnsi="黑体" w:eastAsia="黑体" w:cs="仿宋"/>
          <w:b/>
          <w:bCs/>
          <w:color w:val="000000"/>
          <w:sz w:val="32"/>
          <w:szCs w:val="32"/>
        </w:rPr>
        <w:t>二、参评条件与标准</w:t>
      </w:r>
    </w:p>
    <w:p>
      <w:pPr>
        <w:spacing w:line="460" w:lineRule="exact"/>
        <w:jc w:val="left"/>
        <w:rPr>
          <w:rFonts w:ascii="楷体" w:hAnsi="楷体" w:eastAsia="楷体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 xml:space="preserve">   </w:t>
      </w:r>
      <w:r>
        <w:rPr>
          <w:rFonts w:hint="eastAsia" w:ascii="楷体" w:hAnsi="楷体" w:eastAsia="楷体" w:cs="仿宋"/>
          <w:color w:val="000000"/>
          <w:sz w:val="32"/>
          <w:szCs w:val="32"/>
        </w:rPr>
        <w:t>（一）参评作品奖的基本条件</w:t>
      </w:r>
    </w:p>
    <w:p>
      <w:pPr>
        <w:spacing w:line="460" w:lineRule="exact"/>
        <w:ind w:firstLine="640" w:firstLineChars="200"/>
        <w:jc w:val="lef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1.参评作品须导向正确，内容健康，主题鲜明，格调高雅，具有较高艺术水准，弘扬社会主义核心价值观，追求真善美，传播正能量。</w:t>
      </w:r>
    </w:p>
    <w:p>
      <w:pPr>
        <w:spacing w:line="460" w:lineRule="exact"/>
        <w:ind w:firstLine="640" w:firstLineChars="200"/>
        <w:jc w:val="lef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2.参评作品须符合党的文艺方针政策和民族、宗教政策，遵守我国宪法和法律；</w:t>
      </w:r>
    </w:p>
    <w:p>
      <w:pPr>
        <w:spacing w:line="460" w:lineRule="exact"/>
        <w:ind w:firstLine="640"/>
        <w:jc w:val="lef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3.参评作品须具有创新风格和独特个性，能代表我省文学创作水平，在全省乃至全国产生了良好而广泛的社会影响。</w:t>
      </w:r>
    </w:p>
    <w:p>
      <w:pPr>
        <w:spacing w:line="460" w:lineRule="exact"/>
        <w:ind w:firstLine="640"/>
        <w:jc w:val="lef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4.中篇小说、短篇小说，以单篇形式参评；小小说、</w:t>
      </w:r>
    </w:p>
    <w:p>
      <w:pPr>
        <w:spacing w:line="460" w:lineRule="exact"/>
        <w:jc w:val="lef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诗歌、散文杂文，以成书形式参评；报告文学，以成书或单篇形式参评；</w:t>
      </w:r>
    </w:p>
    <w:p>
      <w:pPr>
        <w:spacing w:line="460" w:lineRule="exact"/>
        <w:ind w:firstLine="640" w:firstLineChars="200"/>
        <w:jc w:val="lef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5.中篇小说指版面字数在2.5万字以上、13万字以下的小说；短篇小说指版面字数在2.5万字以下的小说；小小说指版面字数在2千字以下的小说。申报时须注明字数。</w:t>
      </w:r>
    </w:p>
    <w:p>
      <w:pPr>
        <w:spacing w:line="460" w:lineRule="exact"/>
        <w:jc w:val="left"/>
        <w:rPr>
          <w:rFonts w:ascii="楷体" w:hAnsi="楷体" w:eastAsia="楷体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 xml:space="preserve">   </w:t>
      </w:r>
      <w:r>
        <w:rPr>
          <w:rFonts w:hint="eastAsia" w:ascii="楷体" w:hAnsi="楷体" w:eastAsia="楷体" w:cs="仿宋"/>
          <w:color w:val="000000"/>
          <w:sz w:val="32"/>
          <w:szCs w:val="32"/>
        </w:rPr>
        <w:t>（二）推荐评选终身成就奖的基本条件</w:t>
      </w:r>
    </w:p>
    <w:p>
      <w:pPr>
        <w:widowControl/>
        <w:spacing w:line="460" w:lineRule="exact"/>
        <w:ind w:firstLine="640" w:firstLineChars="200"/>
        <w:rPr>
          <w:rFonts w:ascii="仿宋_GB2312" w:hAnsi="仿宋_GB2312" w:eastAsia="仿宋_GB2312" w:cs="Times New Roman"/>
          <w:sz w:val="32"/>
          <w:szCs w:val="32"/>
        </w:rPr>
      </w:pPr>
      <w:r>
        <w:rPr>
          <w:rFonts w:hint="eastAsia" w:ascii="仿宋_GB2312" w:hAnsi="仿宋_GB2312" w:eastAsia="仿宋_GB2312" w:cs="Times New Roman"/>
          <w:sz w:val="32"/>
          <w:szCs w:val="32"/>
        </w:rPr>
        <w:t>推荐德高</w:t>
      </w:r>
      <w:r>
        <w:rPr>
          <w:rFonts w:ascii="仿宋_GB2312" w:hAnsi="仿宋_GB2312" w:eastAsia="仿宋_GB2312" w:cs="Times New Roman"/>
          <w:sz w:val="32"/>
          <w:szCs w:val="32"/>
        </w:rPr>
        <w:t>望重、在省内外有较大影响，对</w:t>
      </w:r>
      <w:r>
        <w:rPr>
          <w:rFonts w:hint="eastAsia" w:ascii="仿宋_GB2312" w:hAnsi="仿宋_GB2312" w:eastAsia="仿宋_GB2312" w:cs="Times New Roman"/>
          <w:sz w:val="32"/>
          <w:szCs w:val="32"/>
        </w:rPr>
        <w:t>文学</w:t>
      </w:r>
      <w:r>
        <w:rPr>
          <w:rFonts w:ascii="仿宋_GB2312" w:hAnsi="仿宋_GB2312" w:eastAsia="仿宋_GB2312" w:cs="Times New Roman"/>
          <w:sz w:val="32"/>
          <w:szCs w:val="32"/>
        </w:rPr>
        <w:t>事业</w:t>
      </w:r>
      <w:r>
        <w:rPr>
          <w:rFonts w:hint="eastAsia" w:ascii="仿宋_GB2312" w:hAnsi="仿宋_GB2312" w:eastAsia="仿宋_GB2312" w:cs="Times New Roman"/>
          <w:sz w:val="32"/>
          <w:szCs w:val="32"/>
        </w:rPr>
        <w:t>作出</w:t>
      </w:r>
      <w:r>
        <w:rPr>
          <w:rFonts w:ascii="仿宋_GB2312" w:hAnsi="仿宋_GB2312" w:eastAsia="仿宋_GB2312" w:cs="Times New Roman"/>
          <w:sz w:val="32"/>
          <w:szCs w:val="32"/>
        </w:rPr>
        <w:t>突出贡献的</w:t>
      </w:r>
      <w:r>
        <w:rPr>
          <w:rFonts w:hint="eastAsia" w:ascii="仿宋_GB2312" w:hAnsi="仿宋_GB2312" w:eastAsia="仿宋_GB2312" w:cs="Times New Roman"/>
          <w:sz w:val="32"/>
          <w:szCs w:val="32"/>
        </w:rPr>
        <w:t>作</w:t>
      </w:r>
      <w:r>
        <w:rPr>
          <w:rFonts w:ascii="仿宋_GB2312" w:hAnsi="仿宋_GB2312" w:eastAsia="仿宋_GB2312" w:cs="Times New Roman"/>
          <w:sz w:val="32"/>
          <w:szCs w:val="32"/>
        </w:rPr>
        <w:t>家及文艺组织管理工作者终身成就奖</w:t>
      </w:r>
      <w:r>
        <w:rPr>
          <w:rFonts w:hint="eastAsia" w:ascii="仿宋_GB2312" w:hAnsi="仿宋_GB2312" w:eastAsia="仿宋_GB2312" w:cs="Times New Roman"/>
          <w:sz w:val="32"/>
          <w:szCs w:val="32"/>
        </w:rPr>
        <w:t>候选人</w:t>
      </w:r>
      <w:r>
        <w:rPr>
          <w:rFonts w:ascii="仿宋_GB2312" w:hAnsi="仿宋_GB2312" w:eastAsia="仿宋_GB2312" w:cs="Times New Roman"/>
          <w:sz w:val="32"/>
          <w:szCs w:val="32"/>
        </w:rPr>
        <w:t>建议人选条件</w:t>
      </w:r>
      <w:r>
        <w:rPr>
          <w:rFonts w:hint="eastAsia" w:ascii="仿宋_GB2312" w:hAnsi="仿宋_GB2312" w:eastAsia="仿宋_GB2312" w:cs="Times New Roman"/>
          <w:sz w:val="32"/>
          <w:szCs w:val="32"/>
        </w:rPr>
        <w:t>，应</w:t>
      </w:r>
      <w:r>
        <w:rPr>
          <w:rFonts w:ascii="仿宋_GB2312" w:hAnsi="仿宋_GB2312" w:eastAsia="仿宋_GB2312" w:cs="Times New Roman"/>
          <w:sz w:val="32"/>
          <w:szCs w:val="32"/>
        </w:rPr>
        <w:t>具备：</w:t>
      </w:r>
    </w:p>
    <w:p>
      <w:pPr>
        <w:spacing w:line="460" w:lineRule="exact"/>
        <w:ind w:firstLine="640" w:firstLineChars="200"/>
        <w:rPr>
          <w:rFonts w:ascii="仿宋_GB2312" w:hAnsi="仿宋_GB2312" w:eastAsia="仿宋_GB2312" w:cs="Times New Roman"/>
          <w:sz w:val="32"/>
          <w:szCs w:val="21"/>
        </w:rPr>
      </w:pPr>
      <w:r>
        <w:rPr>
          <w:rFonts w:hint="eastAsia" w:ascii="仿宋_GB2312" w:hAnsi="仿宋_GB2312" w:eastAsia="仿宋_GB2312" w:cs="Times New Roman"/>
          <w:sz w:val="32"/>
          <w:szCs w:val="21"/>
        </w:rPr>
        <w:t>1.思想素质好，社会责任感强，社会认可度高，具有良好的职业精神和职业道德，积极投身社会活动，热心服务公益事业。</w:t>
      </w:r>
    </w:p>
    <w:p>
      <w:pPr>
        <w:spacing w:line="460" w:lineRule="exact"/>
        <w:ind w:firstLine="640" w:firstLineChars="200"/>
        <w:rPr>
          <w:rFonts w:ascii="仿宋_GB2312" w:hAnsi="仿宋_GB2312" w:eastAsia="仿宋_GB2312" w:cs="Times New Roman"/>
          <w:sz w:val="32"/>
          <w:szCs w:val="21"/>
        </w:rPr>
      </w:pPr>
      <w:r>
        <w:rPr>
          <w:rFonts w:hint="eastAsia" w:ascii="仿宋_GB2312" w:hAnsi="仿宋_GB2312" w:eastAsia="仿宋_GB2312" w:cs="Times New Roman"/>
          <w:sz w:val="32"/>
          <w:szCs w:val="21"/>
        </w:rPr>
        <w:t>2.在文学领域内享有较高的知名度和广泛持久的影响力、文学造诣深。本人或其作品曾在国内、国际展中获奖。</w:t>
      </w:r>
    </w:p>
    <w:p>
      <w:pPr>
        <w:widowControl/>
        <w:spacing w:line="460" w:lineRule="exact"/>
        <w:ind w:firstLine="640" w:firstLineChars="200"/>
        <w:rPr>
          <w:rFonts w:ascii="仿宋" w:hAnsi="仿宋" w:eastAsia="仿宋" w:cs="仿宋"/>
          <w:color w:val="000000"/>
          <w:kern w:val="0"/>
          <w:sz w:val="32"/>
          <w:szCs w:val="32"/>
          <w:lang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/>
        </w:rPr>
        <w:t>3.作品获得过省级以上宣传文化部门表彰、及省级以上权威文学评审机构所颁文学大奖。</w:t>
      </w:r>
    </w:p>
    <w:p>
      <w:pPr>
        <w:spacing w:line="460" w:lineRule="exact"/>
        <w:ind w:firstLine="640" w:firstLineChars="200"/>
        <w:rPr>
          <w:rFonts w:ascii="仿宋_GB2312" w:hAnsi="仿宋_GB2312" w:eastAsia="仿宋_GB2312" w:cs="Times New Roman"/>
          <w:sz w:val="32"/>
          <w:szCs w:val="21"/>
        </w:rPr>
      </w:pPr>
      <w:r>
        <w:rPr>
          <w:rFonts w:ascii="仿宋_GB2312" w:hAnsi="仿宋_GB2312" w:eastAsia="仿宋_GB2312" w:cs="Times New Roman"/>
          <w:sz w:val="32"/>
          <w:szCs w:val="21"/>
        </w:rPr>
        <w:t>4</w:t>
      </w:r>
      <w:r>
        <w:rPr>
          <w:rFonts w:hint="eastAsia" w:ascii="仿宋_GB2312" w:hAnsi="仿宋_GB2312" w:eastAsia="仿宋_GB2312" w:cs="Times New Roman"/>
          <w:sz w:val="32"/>
          <w:szCs w:val="21"/>
        </w:rPr>
        <w:t>.年龄在75周岁以上。</w:t>
      </w:r>
    </w:p>
    <w:p>
      <w:pPr>
        <w:spacing w:line="460" w:lineRule="exact"/>
        <w:ind w:firstLine="640" w:firstLineChars="200"/>
        <w:rPr>
          <w:rFonts w:ascii="仿宋_GB2312" w:hAnsi="仿宋_GB2312" w:eastAsia="仿宋_GB2312" w:cs="Times New Roman"/>
          <w:sz w:val="32"/>
          <w:szCs w:val="21"/>
        </w:rPr>
      </w:pPr>
      <w:r>
        <w:rPr>
          <w:rFonts w:ascii="仿宋_GB2312" w:hAnsi="仿宋_GB2312" w:eastAsia="仿宋_GB2312" w:cs="Times New Roman"/>
          <w:sz w:val="32"/>
          <w:szCs w:val="21"/>
        </w:rPr>
        <w:t>5</w:t>
      </w:r>
      <w:r>
        <w:rPr>
          <w:rFonts w:hint="eastAsia" w:ascii="仿宋_GB2312" w:hAnsi="仿宋_GB2312" w:eastAsia="仿宋_GB2312" w:cs="Times New Roman"/>
          <w:sz w:val="32"/>
          <w:szCs w:val="21"/>
        </w:rPr>
        <w:t>.“政府特殊津贴”获得者或荣获过省部级以上授予的“德艺双馨“、“优秀专家”等荣誉称号者优先。</w:t>
      </w:r>
    </w:p>
    <w:p>
      <w:pPr>
        <w:spacing w:line="460" w:lineRule="exact"/>
        <w:ind w:firstLine="640" w:firstLineChars="200"/>
        <w:rPr>
          <w:rFonts w:ascii="仿宋_GB2312" w:hAnsi="仿宋_GB2312" w:eastAsia="仿宋_GB2312" w:cs="Times New Roman"/>
          <w:sz w:val="32"/>
          <w:szCs w:val="21"/>
          <w:lang w:val="zh-CN"/>
        </w:rPr>
      </w:pPr>
      <w:r>
        <w:rPr>
          <w:rFonts w:hint="eastAsia" w:ascii="仿宋_GB2312" w:hAnsi="仿宋_GB2312" w:eastAsia="仿宋_GB2312" w:cs="Times New Roman"/>
          <w:sz w:val="32"/>
          <w:szCs w:val="21"/>
          <w:lang w:val="zh-CN"/>
        </w:rPr>
        <w:t>推荐人数可空缺。</w:t>
      </w:r>
    </w:p>
    <w:p>
      <w:pPr>
        <w:spacing w:line="460" w:lineRule="exact"/>
        <w:ind w:firstLine="640" w:firstLineChars="200"/>
        <w:rPr>
          <w:rFonts w:ascii="仿宋_GB2312" w:hAnsi="仿宋_GB2312" w:eastAsia="仿宋_GB2312" w:cs="Times New Roman"/>
          <w:sz w:val="32"/>
          <w:szCs w:val="21"/>
        </w:rPr>
      </w:pPr>
      <w:r>
        <w:rPr>
          <w:rFonts w:hint="eastAsia" w:ascii="仿宋_GB2312" w:hAnsi="仿宋_GB2312" w:eastAsia="仿宋_GB2312" w:cs="Times New Roman"/>
          <w:sz w:val="32"/>
          <w:szCs w:val="21"/>
          <w:lang w:val="zh-CN"/>
        </w:rPr>
        <w:t>获得过第一、二、三届海南省南海文艺奖终身成就奖的文学家和文艺组织</w:t>
      </w:r>
      <w:r>
        <w:rPr>
          <w:rFonts w:ascii="仿宋_GB2312" w:hAnsi="仿宋_GB2312" w:eastAsia="仿宋_GB2312" w:cs="Times New Roman"/>
          <w:sz w:val="32"/>
          <w:szCs w:val="21"/>
          <w:lang w:val="zh-CN"/>
        </w:rPr>
        <w:t>工作者</w:t>
      </w:r>
      <w:r>
        <w:rPr>
          <w:rFonts w:hint="eastAsia" w:ascii="仿宋_GB2312" w:hAnsi="仿宋_GB2312" w:eastAsia="仿宋_GB2312" w:cs="Times New Roman"/>
          <w:sz w:val="32"/>
          <w:szCs w:val="21"/>
          <w:lang w:val="zh-CN"/>
        </w:rPr>
        <w:t>不再参加评选。</w:t>
      </w:r>
    </w:p>
    <w:p>
      <w:pPr>
        <w:spacing w:line="460" w:lineRule="exact"/>
        <w:ind w:firstLine="643" w:firstLineChars="200"/>
        <w:jc w:val="left"/>
        <w:rPr>
          <w:rFonts w:ascii="黑体" w:hAnsi="黑体" w:eastAsia="黑体" w:cs="仿宋"/>
          <w:color w:val="000000"/>
          <w:sz w:val="32"/>
          <w:szCs w:val="32"/>
        </w:rPr>
      </w:pPr>
      <w:r>
        <w:rPr>
          <w:rFonts w:hint="eastAsia" w:ascii="黑体" w:hAnsi="黑体" w:eastAsia="黑体" w:cs="仿宋"/>
          <w:b/>
          <w:bCs/>
          <w:color w:val="000000"/>
          <w:sz w:val="32"/>
          <w:szCs w:val="32"/>
        </w:rPr>
        <w:t>三、评奖程序</w:t>
      </w:r>
    </w:p>
    <w:p>
      <w:pPr>
        <w:spacing w:line="460" w:lineRule="exact"/>
        <w:ind w:firstLine="640" w:firstLineChars="200"/>
        <w:jc w:val="left"/>
        <w:rPr>
          <w:rFonts w:ascii="楷体" w:hAnsi="楷体" w:eastAsia="楷体" w:cs="仿宋"/>
          <w:bCs/>
          <w:color w:val="000000"/>
          <w:sz w:val="32"/>
          <w:szCs w:val="32"/>
        </w:rPr>
      </w:pPr>
      <w:r>
        <w:rPr>
          <w:rFonts w:hint="eastAsia" w:ascii="楷体" w:hAnsi="楷体" w:eastAsia="楷体" w:cs="仿宋"/>
          <w:bCs/>
          <w:color w:val="000000"/>
          <w:sz w:val="32"/>
          <w:szCs w:val="32"/>
        </w:rPr>
        <w:t>（一）审核参评作品。</w:t>
      </w:r>
    </w:p>
    <w:p>
      <w:pPr>
        <w:widowControl/>
        <w:spacing w:line="460" w:lineRule="exact"/>
        <w:ind w:firstLine="620" w:firstLineChars="200"/>
        <w:jc w:val="left"/>
        <w:rPr>
          <w:rFonts w:ascii="仿宋" w:hAnsi="仿宋" w:eastAsia="仿宋" w:cs="仿宋"/>
          <w:color w:val="000000"/>
          <w:kern w:val="0"/>
          <w:sz w:val="31"/>
          <w:szCs w:val="31"/>
          <w:lang/>
        </w:rPr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/>
        </w:rPr>
        <w:t>按照《评奖实施方案》要求，省作家协会设立文学类专家评审委员会，专家评审委员</w:t>
      </w:r>
      <w:r>
        <w:rPr>
          <w:rFonts w:ascii="仿宋" w:hAnsi="仿宋" w:eastAsia="仿宋" w:cs="仿宋"/>
          <w:color w:val="000000"/>
          <w:kern w:val="0"/>
          <w:sz w:val="31"/>
          <w:szCs w:val="31"/>
          <w:lang/>
        </w:rPr>
        <w:t>会</w:t>
      </w: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/>
        </w:rPr>
        <w:t>设主任1名。</w:t>
      </w:r>
    </w:p>
    <w:p>
      <w:pPr>
        <w:spacing w:line="460" w:lineRule="exact"/>
        <w:ind w:firstLine="620" w:firstLineChars="200"/>
        <w:jc w:val="lef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/>
        </w:rPr>
        <w:t>由</w:t>
      </w:r>
      <w:r>
        <w:rPr>
          <w:rFonts w:ascii="仿宋" w:hAnsi="仿宋" w:eastAsia="仿宋" w:cs="仿宋"/>
          <w:color w:val="000000"/>
          <w:kern w:val="0"/>
          <w:sz w:val="31"/>
          <w:szCs w:val="31"/>
          <w:lang/>
        </w:rPr>
        <w:t>省评审办从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“海南省南海文艺奖文学类评审专家库”</w:t>
      </w: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/>
        </w:rPr>
        <w:t>中抽取7人担任文学类评委，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 xml:space="preserve">年龄一般不超过65周岁。 </w:t>
      </w:r>
    </w:p>
    <w:p>
      <w:pPr>
        <w:spacing w:line="460" w:lineRule="exact"/>
        <w:ind w:firstLine="640" w:firstLineChars="200"/>
        <w:jc w:val="lef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ascii="仿宋" w:hAnsi="仿宋" w:eastAsia="仿宋" w:cs="仿宋"/>
          <w:color w:val="000000"/>
          <w:sz w:val="32"/>
          <w:szCs w:val="32"/>
        </w:rPr>
        <w:t>海南省作家协会初审办公室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依据参评条件对所征集的作品进行审核，向省评审办申报初审后的作品15件。</w:t>
      </w:r>
    </w:p>
    <w:p>
      <w:pPr>
        <w:spacing w:line="460" w:lineRule="exact"/>
        <w:ind w:firstLine="640" w:firstLineChars="200"/>
        <w:jc w:val="left"/>
        <w:rPr>
          <w:rFonts w:ascii="楷体" w:hAnsi="楷体" w:eastAsia="楷体" w:cs="仿宋"/>
          <w:bCs/>
          <w:color w:val="000000"/>
          <w:sz w:val="32"/>
          <w:szCs w:val="32"/>
        </w:rPr>
      </w:pPr>
      <w:r>
        <w:rPr>
          <w:rFonts w:hint="eastAsia" w:ascii="楷体" w:hAnsi="楷体" w:eastAsia="楷体" w:cs="仿宋"/>
          <w:bCs/>
          <w:color w:val="000000"/>
          <w:sz w:val="32"/>
          <w:szCs w:val="32"/>
        </w:rPr>
        <w:t>（二）评选和产生获奖作品。</w:t>
      </w:r>
    </w:p>
    <w:p>
      <w:pPr>
        <w:spacing w:line="460" w:lineRule="exact"/>
        <w:ind w:firstLine="775" w:firstLineChars="250"/>
        <w:jc w:val="left"/>
        <w:rPr>
          <w:rFonts w:ascii="仿宋" w:hAnsi="仿宋" w:eastAsia="仿宋" w:cs="仿宋"/>
          <w:color w:val="000000"/>
          <w:kern w:val="0"/>
          <w:sz w:val="31"/>
          <w:szCs w:val="31"/>
          <w:lang/>
        </w:rPr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/>
        </w:rPr>
        <w:t>1.举行评审会议。评委认真</w:t>
      </w:r>
      <w:r>
        <w:rPr>
          <w:rFonts w:ascii="仿宋" w:hAnsi="仿宋" w:eastAsia="仿宋" w:cs="仿宋"/>
          <w:color w:val="000000"/>
          <w:kern w:val="0"/>
          <w:sz w:val="31"/>
          <w:szCs w:val="31"/>
          <w:lang/>
        </w:rPr>
        <w:t>阅读、审看参</w:t>
      </w: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/>
        </w:rPr>
        <w:t>评作品。在对参评作品评审、讨论的基础上，投票以不少于三分之二票数，选出9部（篇）提名作品；</w:t>
      </w:r>
    </w:p>
    <w:p>
      <w:pPr>
        <w:spacing w:line="460" w:lineRule="exact"/>
        <w:ind w:firstLine="775" w:firstLineChars="250"/>
        <w:jc w:val="left"/>
        <w:rPr>
          <w:rFonts w:ascii="仿宋" w:hAnsi="仿宋" w:eastAsia="仿宋" w:cs="仿宋"/>
          <w:color w:val="000000"/>
          <w:kern w:val="0"/>
          <w:sz w:val="31"/>
          <w:szCs w:val="31"/>
          <w:lang/>
        </w:rPr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/>
        </w:rPr>
        <w:t>2.产生获奖作品。评委经充分讨论，投票以不少于三分之二票数产生6 部（篇）获奖作品。并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推荐</w:t>
      </w:r>
      <w:r>
        <w:rPr>
          <w:rFonts w:ascii="仿宋" w:hAnsi="仿宋" w:eastAsia="仿宋" w:cs="仿宋"/>
          <w:color w:val="000000"/>
          <w:kern w:val="0"/>
          <w:sz w:val="31"/>
          <w:szCs w:val="31"/>
          <w:lang/>
        </w:rPr>
        <w:t>终身成就奖</w:t>
      </w: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/>
        </w:rPr>
        <w:t>候选人</w:t>
      </w:r>
      <w:r>
        <w:rPr>
          <w:rFonts w:ascii="仿宋" w:hAnsi="仿宋" w:eastAsia="仿宋" w:cs="仿宋"/>
          <w:color w:val="000000"/>
          <w:kern w:val="0"/>
          <w:sz w:val="31"/>
          <w:szCs w:val="31"/>
          <w:lang/>
        </w:rPr>
        <w:t>建议人选</w:t>
      </w: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/>
        </w:rPr>
        <w:t>1名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。</w:t>
      </w:r>
    </w:p>
    <w:p>
      <w:pPr>
        <w:spacing w:line="460" w:lineRule="exact"/>
        <w:ind w:firstLine="775" w:firstLineChars="250"/>
        <w:jc w:val="left"/>
        <w:rPr>
          <w:rFonts w:ascii="仿宋" w:hAnsi="仿宋" w:eastAsia="仿宋" w:cs="仿宋"/>
          <w:color w:val="000000"/>
          <w:kern w:val="0"/>
          <w:sz w:val="31"/>
          <w:szCs w:val="31"/>
          <w:lang/>
        </w:rPr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/>
        </w:rPr>
        <w:t>3.</w:t>
      </w:r>
      <w:r>
        <w:rPr>
          <w:rFonts w:ascii="仿宋" w:hAnsi="仿宋" w:eastAsia="仿宋" w:cs="仿宋"/>
          <w:color w:val="000000"/>
          <w:kern w:val="0"/>
          <w:sz w:val="31"/>
          <w:szCs w:val="31"/>
          <w:lang/>
        </w:rPr>
        <w:t>投票实行实名制。产生提名作品和获奖作品的投票、计票在纪律监察组监督下进行。</w:t>
      </w:r>
    </w:p>
    <w:p>
      <w:pPr>
        <w:spacing w:line="460" w:lineRule="exact"/>
        <w:ind w:firstLine="775" w:firstLineChars="250"/>
        <w:jc w:val="left"/>
        <w:rPr>
          <w:rFonts w:ascii="仿宋" w:hAnsi="仿宋" w:eastAsia="仿宋" w:cs="仿宋"/>
          <w:color w:val="0000FF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/>
        </w:rPr>
        <w:t>4.</w:t>
      </w:r>
      <w:r>
        <w:rPr>
          <w:rFonts w:ascii="仿宋" w:hAnsi="仿宋" w:eastAsia="仿宋" w:cs="仿宋"/>
          <w:color w:val="000000"/>
          <w:kern w:val="0"/>
          <w:sz w:val="31"/>
          <w:szCs w:val="31"/>
          <w:lang/>
        </w:rPr>
        <w:t>评审委员会主任主持评奖工作，不参与投票。</w:t>
      </w:r>
    </w:p>
    <w:p>
      <w:pPr>
        <w:spacing w:line="460" w:lineRule="exact"/>
        <w:ind w:firstLine="800" w:firstLineChars="250"/>
        <w:jc w:val="lef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5.省评审委听取省评审办评选结果汇报，对评选结果充分审议后，确定获奖结果。</w:t>
      </w:r>
    </w:p>
    <w:p>
      <w:pPr>
        <w:spacing w:line="460" w:lineRule="exact"/>
        <w:ind w:firstLine="643" w:firstLineChars="200"/>
        <w:jc w:val="left"/>
        <w:rPr>
          <w:rFonts w:ascii="黑体" w:hAnsi="黑体" w:eastAsia="黑体" w:cs="仿宋"/>
          <w:b/>
          <w:bCs/>
          <w:color w:val="000000"/>
          <w:sz w:val="32"/>
          <w:szCs w:val="32"/>
        </w:rPr>
      </w:pPr>
      <w:r>
        <w:rPr>
          <w:rFonts w:hint="eastAsia" w:ascii="黑体" w:hAnsi="黑体" w:eastAsia="黑体" w:cs="仿宋"/>
          <w:b/>
          <w:bCs/>
          <w:color w:val="000000"/>
          <w:sz w:val="32"/>
          <w:szCs w:val="32"/>
        </w:rPr>
        <w:t>六、申报要求</w:t>
      </w:r>
    </w:p>
    <w:p>
      <w:pPr>
        <w:spacing w:line="460" w:lineRule="exact"/>
        <w:ind w:firstLine="640" w:firstLineChars="200"/>
        <w:jc w:val="lef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（一）本项文学奖可</w:t>
      </w:r>
      <w:r>
        <w:rPr>
          <w:rFonts w:ascii="仿宋" w:hAnsi="仿宋" w:eastAsia="仿宋" w:cs="仿宋"/>
          <w:color w:val="000000"/>
          <w:sz w:val="32"/>
          <w:szCs w:val="32"/>
        </w:rPr>
        <w:t>以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作者个人或集体</w:t>
      </w:r>
      <w:r>
        <w:rPr>
          <w:rFonts w:ascii="仿宋" w:hAnsi="仿宋" w:eastAsia="仿宋" w:cs="仿宋"/>
          <w:color w:val="000000"/>
          <w:sz w:val="32"/>
          <w:szCs w:val="32"/>
        </w:rPr>
        <w:t>进行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申报。参评者请在海南文联网站或海南作家网站下载“第四届海南省南海文艺奖文学类评奖申报表”认真填写，并将申报表一式7份和作品一式7份（要注明刊物名称及发表时间）报送海南省作家协会创联部。截止日期为2021年10月25日前（以邮戳为准）。</w:t>
      </w:r>
    </w:p>
    <w:p>
      <w:pPr>
        <w:spacing w:line="460" w:lineRule="exact"/>
        <w:ind w:firstLine="640" w:firstLineChars="200"/>
        <w:jc w:val="lef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（二）参评终身成就奖者需填写《第四届海南省南海文艺奖终身成就奖申报表》（一式7份），附1000字的事迹材料及有关获奖证书复印件7份。</w:t>
      </w:r>
    </w:p>
    <w:p>
      <w:pPr>
        <w:spacing w:line="460" w:lineRule="exact"/>
        <w:ind w:firstLine="640" w:firstLineChars="200"/>
        <w:jc w:val="lef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（三）本细则由海南省南海文艺奖评审委员会办公室负责解释。</w:t>
      </w:r>
    </w:p>
    <w:p>
      <w:pPr>
        <w:spacing w:line="460" w:lineRule="exact"/>
        <w:ind w:firstLine="640" w:firstLineChars="200"/>
        <w:jc w:val="lef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地址：海口市国兴大道69号海南广场9号楼605室</w:t>
      </w:r>
    </w:p>
    <w:p>
      <w:pPr>
        <w:spacing w:line="460" w:lineRule="exact"/>
        <w:ind w:firstLine="640" w:firstLineChars="200"/>
        <w:jc w:val="lef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 xml:space="preserve">      海南省作协创联部</w:t>
      </w:r>
    </w:p>
    <w:p>
      <w:pPr>
        <w:spacing w:line="460" w:lineRule="exact"/>
        <w:ind w:firstLine="640" w:firstLineChars="200"/>
        <w:jc w:val="lef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联系人</w:t>
      </w:r>
      <w:r>
        <w:rPr>
          <w:rFonts w:ascii="仿宋" w:hAnsi="仿宋" w:eastAsia="仿宋" w:cs="仿宋"/>
          <w:color w:val="000000"/>
          <w:sz w:val="32"/>
          <w:szCs w:val="32"/>
        </w:rPr>
        <w:t>：蔡小华，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电话：0898-65363556</w:t>
      </w:r>
    </w:p>
    <w:p>
      <w:pPr>
        <w:spacing w:line="460" w:lineRule="exact"/>
        <w:ind w:firstLine="640" w:firstLineChars="200"/>
        <w:jc w:val="lef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邮编：570203</w:t>
      </w:r>
    </w:p>
    <w:p>
      <w:pPr>
        <w:spacing w:line="460" w:lineRule="exact"/>
        <w:ind w:firstLine="640" w:firstLineChars="200"/>
        <w:jc w:val="left"/>
        <w:rPr>
          <w:rFonts w:ascii="仿宋" w:hAnsi="仿宋" w:eastAsia="仿宋" w:cs="仿宋"/>
          <w:color w:val="000000"/>
          <w:sz w:val="32"/>
          <w:szCs w:val="32"/>
        </w:rPr>
      </w:pPr>
    </w:p>
    <w:p>
      <w:pPr>
        <w:spacing w:line="460" w:lineRule="exact"/>
        <w:ind w:firstLine="640" w:firstLineChars="200"/>
        <w:jc w:val="left"/>
        <w:rPr>
          <w:rFonts w:ascii="仿宋" w:hAnsi="仿宋" w:eastAsia="仿宋" w:cs="仿宋"/>
          <w:color w:val="000000"/>
          <w:sz w:val="32"/>
          <w:szCs w:val="32"/>
        </w:rPr>
      </w:pPr>
    </w:p>
    <w:p>
      <w:pPr>
        <w:spacing w:line="460" w:lineRule="exact"/>
        <w:ind w:firstLine="640" w:firstLineChars="200"/>
        <w:jc w:val="left"/>
        <w:rPr>
          <w:rFonts w:ascii="仿宋" w:hAnsi="仿宋" w:eastAsia="仿宋" w:cs="仿宋"/>
          <w:color w:val="000000"/>
          <w:sz w:val="32"/>
          <w:szCs w:val="32"/>
        </w:rPr>
      </w:pPr>
    </w:p>
    <w:p>
      <w:pPr>
        <w:spacing w:line="460" w:lineRule="exact"/>
        <w:ind w:firstLine="640" w:firstLineChars="200"/>
        <w:jc w:val="left"/>
        <w:rPr>
          <w:rFonts w:ascii="仿宋" w:hAnsi="仿宋" w:eastAsia="仿宋" w:cs="仿宋"/>
          <w:color w:val="000000"/>
          <w:sz w:val="32"/>
          <w:szCs w:val="32"/>
        </w:rPr>
      </w:pPr>
    </w:p>
    <w:p>
      <w:pPr>
        <w:spacing w:line="460" w:lineRule="exact"/>
        <w:jc w:val="lef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 xml:space="preserve">   海南省文学</w:t>
      </w:r>
      <w:r>
        <w:rPr>
          <w:rFonts w:ascii="仿宋" w:hAnsi="仿宋" w:eastAsia="仿宋" w:cs="仿宋"/>
          <w:color w:val="000000"/>
          <w:sz w:val="32"/>
          <w:szCs w:val="32"/>
        </w:rPr>
        <w:t>艺术界联合会第四届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南海文艺奖评审办公室</w:t>
      </w:r>
    </w:p>
    <w:p>
      <w:pPr>
        <w:spacing w:line="460" w:lineRule="exact"/>
        <w:jc w:val="lef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 xml:space="preserve">                    </w:t>
      </w:r>
      <w:r>
        <w:rPr>
          <w:rFonts w:ascii="仿宋" w:hAnsi="仿宋" w:eastAsia="仿宋" w:cs="仿宋"/>
          <w:color w:val="000000"/>
          <w:sz w:val="32"/>
          <w:szCs w:val="32"/>
        </w:rPr>
        <w:t xml:space="preserve">       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海南省作家协会</w:t>
      </w:r>
    </w:p>
    <w:p>
      <w:pPr>
        <w:spacing w:line="460" w:lineRule="exact"/>
        <w:jc w:val="lef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 xml:space="preserve">                  </w:t>
      </w:r>
      <w:r>
        <w:rPr>
          <w:rFonts w:ascii="仿宋" w:hAnsi="仿宋" w:eastAsia="仿宋" w:cs="仿宋"/>
          <w:color w:val="000000"/>
          <w:sz w:val="32"/>
          <w:szCs w:val="32"/>
        </w:rPr>
        <w:t xml:space="preserve">       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 xml:space="preserve"> 2021年9月17日</w:t>
      </w:r>
    </w:p>
    <w:p>
      <w:pPr>
        <w:spacing w:line="460" w:lineRule="exact"/>
        <w:jc w:val="left"/>
        <w:rPr>
          <w:rFonts w:ascii="黑体" w:hAnsi="黑体" w:eastAsia="黑体" w:cs="Times New Roman"/>
          <w:b/>
          <w:bCs/>
          <w:sz w:val="32"/>
          <w:szCs w:val="32"/>
        </w:rPr>
      </w:pPr>
    </w:p>
    <w:p>
      <w:pPr>
        <w:spacing w:line="460" w:lineRule="exact"/>
        <w:jc w:val="left"/>
        <w:rPr>
          <w:rFonts w:ascii="黑体" w:hAnsi="黑体" w:eastAsia="黑体" w:cs="Times New Roman"/>
          <w:b/>
          <w:bCs/>
          <w:sz w:val="32"/>
          <w:szCs w:val="32"/>
        </w:rPr>
      </w:pPr>
    </w:p>
    <w:p>
      <w:pPr>
        <w:spacing w:line="460" w:lineRule="exact"/>
        <w:jc w:val="left"/>
        <w:rPr>
          <w:rFonts w:ascii="黑体" w:hAnsi="黑体" w:eastAsia="黑体" w:cs="Times New Roman"/>
          <w:b/>
          <w:bCs/>
          <w:sz w:val="32"/>
          <w:szCs w:val="32"/>
        </w:rPr>
      </w:pPr>
    </w:p>
    <w:p>
      <w:pPr>
        <w:spacing w:line="460" w:lineRule="exact"/>
        <w:jc w:val="left"/>
        <w:rPr>
          <w:rFonts w:ascii="黑体" w:hAnsi="黑体" w:eastAsia="黑体" w:cs="Times New Roman"/>
          <w:b/>
          <w:bCs/>
          <w:sz w:val="32"/>
          <w:szCs w:val="32"/>
        </w:rPr>
      </w:pPr>
    </w:p>
    <w:p>
      <w:pPr>
        <w:spacing w:line="460" w:lineRule="exact"/>
        <w:jc w:val="left"/>
        <w:rPr>
          <w:rFonts w:ascii="黑体" w:hAnsi="黑体" w:eastAsia="黑体" w:cs="Times New Roman"/>
          <w:b/>
          <w:bCs/>
          <w:sz w:val="32"/>
          <w:szCs w:val="32"/>
        </w:rPr>
      </w:pPr>
    </w:p>
    <w:p>
      <w:pPr>
        <w:spacing w:line="560" w:lineRule="exact"/>
        <w:jc w:val="left"/>
        <w:rPr>
          <w:rFonts w:ascii="黑体" w:hAnsi="黑体" w:eastAsia="黑体" w:cs="Times New Roman"/>
          <w:b/>
          <w:bCs/>
          <w:sz w:val="32"/>
          <w:szCs w:val="32"/>
        </w:rPr>
      </w:pPr>
    </w:p>
    <w:p>
      <w:pPr>
        <w:spacing w:line="560" w:lineRule="exact"/>
        <w:jc w:val="left"/>
        <w:rPr>
          <w:rFonts w:ascii="黑体" w:hAnsi="黑体" w:eastAsia="黑体" w:cs="Times New Roman"/>
          <w:b/>
          <w:bCs/>
          <w:sz w:val="32"/>
          <w:szCs w:val="32"/>
        </w:rPr>
      </w:pPr>
    </w:p>
    <w:p>
      <w:pPr>
        <w:spacing w:line="560" w:lineRule="exact"/>
        <w:jc w:val="left"/>
        <w:rPr>
          <w:rFonts w:ascii="黑体" w:hAnsi="黑体" w:eastAsia="黑体" w:cs="Times New Roman"/>
          <w:b/>
          <w:bCs/>
          <w:sz w:val="32"/>
          <w:szCs w:val="32"/>
        </w:rPr>
      </w:pPr>
    </w:p>
    <w:p>
      <w:pPr>
        <w:spacing w:line="560" w:lineRule="exact"/>
        <w:jc w:val="left"/>
        <w:rPr>
          <w:rFonts w:ascii="黑体" w:hAnsi="黑体" w:eastAsia="黑体" w:cs="Times New Roman"/>
          <w:b/>
          <w:bCs/>
          <w:sz w:val="32"/>
          <w:szCs w:val="32"/>
        </w:rPr>
      </w:pPr>
    </w:p>
    <w:p>
      <w:pPr>
        <w:spacing w:line="560" w:lineRule="exact"/>
        <w:jc w:val="left"/>
        <w:rPr>
          <w:rFonts w:ascii="黑体" w:hAnsi="黑体" w:eastAsia="黑体" w:cs="Times New Roman"/>
          <w:bCs/>
          <w:sz w:val="32"/>
          <w:szCs w:val="32"/>
        </w:rPr>
      </w:pPr>
    </w:p>
    <w:p>
      <w:pPr>
        <w:spacing w:line="560" w:lineRule="exact"/>
        <w:jc w:val="left"/>
        <w:rPr>
          <w:rFonts w:ascii="黑体" w:hAnsi="黑体" w:eastAsia="黑体" w:cs="Times New Roman"/>
          <w:bCs/>
          <w:sz w:val="32"/>
          <w:szCs w:val="32"/>
        </w:rPr>
      </w:pPr>
    </w:p>
    <w:p>
      <w:pPr>
        <w:spacing w:line="560" w:lineRule="exact"/>
        <w:jc w:val="left"/>
        <w:rPr>
          <w:rFonts w:ascii="黑体" w:hAnsi="黑体" w:eastAsia="黑体" w:cs="Times New Roman"/>
          <w:bCs/>
          <w:sz w:val="32"/>
          <w:szCs w:val="32"/>
        </w:rPr>
      </w:pPr>
    </w:p>
    <w:p>
      <w:pPr>
        <w:spacing w:line="460" w:lineRule="exact"/>
        <w:rPr>
          <w:rFonts w:ascii="仿宋_GB2312" w:hAnsi="仿宋_GB2312" w:eastAsia="宋体" w:cs="仿宋_GB2312"/>
          <w:kern w:val="10"/>
          <w:sz w:val="32"/>
          <w:szCs w:val="32"/>
        </w:rPr>
      </w:pPr>
    </w:p>
    <w:sectPr>
      <w:footerReference r:id="rId4" w:type="default"/>
      <w:footerReference r:id="rId5" w:type="even"/>
      <w:pgSz w:w="11906" w:h="16838"/>
      <w:pgMar w:top="1440" w:right="1800" w:bottom="1440" w:left="180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宋体-PUA">
    <w:altName w:val="宋体"/>
    <w:panose1 w:val="02010600030101010101"/>
    <w:charset w:val="86"/>
    <w:family w:val="auto"/>
    <w:pitch w:val="default"/>
    <w:sig w:usb0="00000001" w:usb1="180E0000" w:usb2="00000010" w:usb3="00000000" w:csb0="00040000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Microsoft YaHei UI">
    <w:altName w:val="微软雅黑"/>
    <w:panose1 w:val="00000000000000000000"/>
    <w:charset w:val="86"/>
    <w:family w:val="auto"/>
    <w:pitch w:val="default"/>
    <w:sig w:usb0="00000000" w:usb1="2ACF3C50" w:usb2="00000016" w:usb3="00000000" w:csb0="0004001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5"/>
      <w:jc w:val="right"/>
    </w:pPr>
    <w:r>
      <w:fldChar w:fldCharType="begin"/>
    </w:r>
    <w:r>
      <w:instrText xml:space="preserve">PAGE   \* MERGEFORMAT</w:instrText>
    </w:r>
    <w:r>
      <w:fldChar w:fldCharType="separate"/>
    </w:r>
    <w:r>
      <w:rPr>
        <w:rFonts w:ascii="宋体" w:hAnsi="宋体"/>
        <w:sz w:val="28"/>
        <w:szCs w:val="28"/>
        <w:lang w:val="zh-CN"/>
      </w:rPr>
      <w:t>-</w:t>
    </w:r>
    <w:r>
      <w:rPr>
        <w:rFonts w:ascii="宋体" w:hAnsi="宋体"/>
        <w:sz w:val="28"/>
        <w:szCs w:val="28"/>
      </w:rPr>
      <w:t xml:space="preserve"> 75 -</w:t>
    </w:r>
    <w:r>
      <w:fldChar w:fldCharType="end"/>
    </w:r>
  </w:p>
  <w:p>
    <w:pPr>
      <w:pStyle w:val="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5"/>
      <w:rPr>
        <w:rFonts w:ascii="宋体" w:hAnsi="宋体"/>
        <w:sz w:val="28"/>
        <w:szCs w:val="28"/>
      </w:rPr>
    </w:pP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PAGE   \* MERGEFORMAT</w:instrText>
    </w:r>
    <w:r>
      <w:rPr>
        <w:rFonts w:ascii="宋体" w:hAnsi="宋体"/>
        <w:sz w:val="28"/>
        <w:szCs w:val="28"/>
      </w:rPr>
      <w:fldChar w:fldCharType="separate"/>
    </w:r>
    <w:r>
      <w:rPr>
        <w:rFonts w:ascii="宋体" w:hAnsi="宋体"/>
        <w:sz w:val="28"/>
        <w:szCs w:val="28"/>
        <w:lang w:val="zh-CN"/>
      </w:rPr>
      <w:t>-</w:t>
    </w:r>
    <w:r>
      <w:rPr>
        <w:rFonts w:ascii="宋体" w:hAnsi="宋体"/>
        <w:sz w:val="28"/>
        <w:szCs w:val="28"/>
      </w:rPr>
      <w:t xml:space="preserve"> 74 -</w:t>
    </w:r>
    <w:r>
      <w:rPr>
        <w:rFonts w:ascii="宋体" w:hAnsi="宋体"/>
        <w:sz w:val="28"/>
        <w:szCs w:val="28"/>
      </w:rPr>
      <w:fldChar w:fldCharType="end"/>
    </w:r>
  </w:p>
  <w:p>
    <w:pPr>
      <w:pStyle w:val="5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evenAndOddHeaders w:val="1"/>
  <w:drawingGridHorizontalSpacing w:val="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156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99" w:name="annotation text"/>
    <w:lsdException w:uiPriority="99" w:semiHidden="0" w:name="header"/>
    <w:lsdException w:uiPriority="99" w:semiHidden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99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nhideWhenUsed="0" w:uiPriority="0" w:semiHidden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unhideWhenUsed="0" w:uiPriority="0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99" w:name="annotation subject"/>
    <w:lsdException w:uiPriority="99" w:name="Balloon Text"/>
  </w:latentStyles>
  <w:style w:type="paragraph" w:default="1" w:styleId="1">
    <w:name w:val="Normal"/>
    <w:qFormat/>
    <w:uiPriority w:val="0"/>
    <w:pPr>
      <w:widowControl w:val="0"/>
      <w:jc w:val="both"/>
    </w:pPr>
    <w:rPr>
      <w:rFonts w:cs="黑体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paragraph" w:styleId="2">
    <w:name w:val="annotation subject"/>
    <w:basedOn w:val="3"/>
    <w:next w:val="3"/>
    <w:link w:val="19"/>
    <w:semiHidden/>
    <w:unhideWhenUsed/>
    <w:uiPriority w:val="99"/>
    <w:rPr>
      <w:b/>
      <w:bCs/>
    </w:rPr>
  </w:style>
  <w:style w:type="paragraph" w:styleId="3">
    <w:name w:val="annotation text"/>
    <w:basedOn w:val="1"/>
    <w:link w:val="18"/>
    <w:semiHidden/>
    <w:unhideWhenUsed/>
    <w:uiPriority w:val="99"/>
    <w:pPr>
      <w:jc w:val="left"/>
    </w:pPr>
    <w:rPr>
      <w:rFonts w:ascii="Times New Roman" w:hAnsi="Times New Roman" w:eastAsia="宋体" w:cs="Times New Roman"/>
      <w:szCs w:val="24"/>
    </w:rPr>
  </w:style>
  <w:style w:type="paragraph" w:styleId="4">
    <w:name w:val="Balloon Text"/>
    <w:basedOn w:val="1"/>
    <w:link w:val="17"/>
    <w:semiHidden/>
    <w:unhideWhenUsed/>
    <w:uiPriority w:val="99"/>
    <w:rPr>
      <w:rFonts w:ascii="Times New Roman" w:hAnsi="Times New Roman" w:eastAsia="宋体" w:cs="Times New Roman"/>
      <w:sz w:val="18"/>
      <w:szCs w:val="18"/>
    </w:rPr>
  </w:style>
  <w:style w:type="paragraph" w:styleId="5">
    <w:name w:val="footer"/>
    <w:basedOn w:val="1"/>
    <w:link w:val="16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sz w:val="18"/>
      <w:szCs w:val="18"/>
    </w:rPr>
  </w:style>
  <w:style w:type="paragraph" w:styleId="6">
    <w:name w:val="header"/>
    <w:basedOn w:val="1"/>
    <w:link w:val="15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Times New Roman" w:hAnsi="Times New Roman" w:eastAsia="宋体" w:cs="Times New Roman"/>
      <w:sz w:val="18"/>
      <w:szCs w:val="18"/>
    </w:rPr>
  </w:style>
  <w:style w:type="paragraph" w:styleId="7">
    <w:name w:val="Normal (Web)"/>
    <w:basedOn w:val="1"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9">
    <w:name w:val="Hyperlink"/>
    <w:basedOn w:val="8"/>
    <w:uiPriority w:val="0"/>
    <w:rPr>
      <w:color w:val="0563C1"/>
      <w:u w:val="single"/>
    </w:rPr>
  </w:style>
  <w:style w:type="character" w:styleId="10">
    <w:name w:val="annotation reference"/>
    <w:basedOn w:val="8"/>
    <w:semiHidden/>
    <w:unhideWhenUsed/>
    <w:uiPriority w:val="99"/>
    <w:rPr>
      <w:sz w:val="21"/>
      <w:szCs w:val="21"/>
    </w:rPr>
  </w:style>
  <w:style w:type="paragraph" w:customStyle="1" w:styleId="11">
    <w:name w:val="Char Char Char"/>
    <w:basedOn w:val="1"/>
    <w:qFormat/>
    <w:uiPriority w:val="0"/>
    <w:pPr>
      <w:widowControl/>
      <w:spacing w:after="160" w:line="240" w:lineRule="exact"/>
      <w:jc w:val="left"/>
    </w:pPr>
    <w:rPr>
      <w:rFonts w:ascii="Times New Roman" w:hAnsi="Times New Roman" w:eastAsia="宋体" w:cs="Times New Roman"/>
      <w:szCs w:val="24"/>
    </w:rPr>
  </w:style>
  <w:style w:type="paragraph" w:customStyle="1" w:styleId="12">
    <w:name w:val="List Paragraph"/>
    <w:basedOn w:val="1"/>
    <w:qFormat/>
    <w:uiPriority w:val="34"/>
    <w:pPr>
      <w:ind w:firstLine="420" w:firstLineChars="200"/>
    </w:pPr>
    <w:rPr>
      <w:rFonts w:ascii="Times New Roman" w:hAnsi="Times New Roman" w:eastAsia="宋体" w:cs="Times New Roman"/>
      <w:szCs w:val="24"/>
    </w:rPr>
  </w:style>
  <w:style w:type="paragraph" w:customStyle="1" w:styleId="13">
    <w:name w:val="_Style 4"/>
    <w:basedOn w:val="1"/>
    <w:uiPriority w:val="0"/>
    <w:pPr>
      <w:widowControl/>
      <w:spacing w:after="160" w:line="240" w:lineRule="exact"/>
      <w:jc w:val="left"/>
    </w:pPr>
    <w:rPr>
      <w:rFonts w:ascii="Times New Roman" w:hAnsi="Times New Roman" w:eastAsia="宋体" w:cs="Times New Roman"/>
      <w:szCs w:val="24"/>
    </w:rPr>
  </w:style>
  <w:style w:type="paragraph" w:customStyle="1" w:styleId="14">
    <w:name w:val="Revision"/>
    <w:hidden/>
    <w:semiHidden/>
    <w:uiPriority w:val="99"/>
    <w:rPr>
      <w:rFonts w:ascii="Times New Roman" w:hAnsi="Times New Roman" w:eastAsia="宋体" w:cs="Times New Roman"/>
      <w:szCs w:val="24"/>
    </w:rPr>
  </w:style>
  <w:style w:type="character" w:customStyle="1" w:styleId="15">
    <w:name w:val="页眉 字符"/>
    <w:basedOn w:val="8"/>
    <w:link w:val="6"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6">
    <w:name w:val="页脚 字符"/>
    <w:basedOn w:val="8"/>
    <w:link w:val="5"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7">
    <w:name w:val="批注框文本 字符"/>
    <w:basedOn w:val="8"/>
    <w:link w:val="4"/>
    <w:semiHidden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8">
    <w:name w:val="批注文字 字符"/>
    <w:basedOn w:val="8"/>
    <w:link w:val="3"/>
    <w:semiHidden/>
    <w:uiPriority w:val="99"/>
    <w:rPr>
      <w:rFonts w:ascii="Times New Roman" w:hAnsi="Times New Roman" w:eastAsia="宋体" w:cs="Times New Roman"/>
      <w:szCs w:val="24"/>
    </w:rPr>
  </w:style>
  <w:style w:type="character" w:customStyle="1" w:styleId="19">
    <w:name w:val="批注主题 字符"/>
    <w:basedOn w:val="18"/>
    <w:link w:val="2"/>
    <w:semiHidden/>
    <w:uiPriority w:val="99"/>
    <w:rPr>
      <w:rFonts w:ascii="Times New Roman" w:hAnsi="Times New Roman" w:eastAsia="宋体" w:cs="Times New Roman"/>
      <w:b/>
      <w:bCs/>
      <w:szCs w:val="24"/>
    </w:rPr>
  </w:style>
  <w:style w:type="character" w:customStyle="1" w:styleId="20">
    <w:name w:val="NormalCharacter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fontTable" Target="fontTable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footer" Target="footer1.xml"/><Relationship Id="rId5" Type="http://schemas.openxmlformats.org/officeDocument/2006/relationships/footer" Target="footer2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76</Pages>
  <Words>6348</Words>
  <Characters>36187</Characters>
  <Lines>301</Lines>
  <Paragraphs>84</Paragraphs>
  <TotalTime>0</TotalTime>
  <ScaleCrop>false</ScaleCrop>
  <LinksUpToDate>false</LinksUpToDate>
  <CharactersWithSpaces>0</CharactersWithSpaces>
  <Application>WPS Office 专业版_9.1.0.4688_{F1E327BC-269C-435d-A152-05C5408002CA}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2021-08-27T13:57:00Z</dcterms:created>
  <dc:creator>修订者</dc:creator>
  <cp:lastModifiedBy>未定义</cp:lastModifiedBy>
  <cp:lastPrinted>2021-09-16T17:48:00Z</cp:lastPrinted>
  <dcterms:modified xsi:type="dcterms:W3CDTF">2021-09-22T07:23:04Z</dcterms:modified>
  <dc:title>附件2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2052-9.1.0.4688</vt:lpwstr>
  </property>
</Properties>
</file>